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Ind w:w="-318" w:type="dxa"/>
        <w:tblLook w:val="04A0" w:firstRow="1" w:lastRow="0" w:firstColumn="1" w:lastColumn="0" w:noHBand="0" w:noVBand="1"/>
      </w:tblPr>
      <w:tblGrid>
        <w:gridCol w:w="2194"/>
        <w:gridCol w:w="473"/>
        <w:gridCol w:w="2927"/>
        <w:gridCol w:w="373"/>
        <w:gridCol w:w="746"/>
        <w:gridCol w:w="2893"/>
      </w:tblGrid>
      <w:tr w:rsidR="00AE72C5" w:rsidTr="006415AE">
        <w:trPr>
          <w:trHeight w:val="558"/>
        </w:trPr>
        <w:tc>
          <w:tcPr>
            <w:tcW w:w="9606" w:type="dxa"/>
            <w:gridSpan w:val="6"/>
            <w:shd w:val="clear" w:color="auto" w:fill="D9D9D9" w:themeFill="background1" w:themeFillShade="D9"/>
          </w:tcPr>
          <w:p w:rsidR="00AE72C5" w:rsidRPr="003D1E91" w:rsidRDefault="00AE72C5" w:rsidP="00AE72C5">
            <w:pPr>
              <w:pStyle w:val="Nzev"/>
              <w:jc w:val="center"/>
              <w:rPr>
                <w:rFonts w:asciiTheme="minorHAnsi" w:hAnsiTheme="minorHAnsi" w:cstheme="minorHAnsi"/>
                <w:b/>
                <w:sz w:val="44"/>
              </w:rPr>
            </w:pPr>
            <w:r w:rsidRPr="003D1E91">
              <w:rPr>
                <w:rFonts w:asciiTheme="minorHAnsi" w:hAnsiTheme="minorHAnsi" w:cstheme="minorHAnsi"/>
                <w:b/>
                <w:sz w:val="44"/>
              </w:rPr>
              <w:t>Karta výzkumného centra</w:t>
            </w:r>
          </w:p>
          <w:p w:rsidR="00AE72C5" w:rsidRPr="003D1E91" w:rsidRDefault="00AE72C5" w:rsidP="00AE72C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D1E91">
              <w:rPr>
                <w:rFonts w:asciiTheme="minorHAnsi" w:hAnsiTheme="minorHAnsi" w:cstheme="minorHAnsi"/>
              </w:rPr>
              <w:t>financovaného z </w:t>
            </w:r>
            <w:r w:rsidR="00E71CB7" w:rsidRPr="003D1E91">
              <w:rPr>
                <w:rFonts w:asciiTheme="minorHAnsi" w:hAnsiTheme="minorHAnsi" w:cstheme="minorHAnsi"/>
              </w:rPr>
              <w:t>O</w:t>
            </w:r>
            <w:r w:rsidRPr="003D1E91">
              <w:rPr>
                <w:rFonts w:asciiTheme="minorHAnsi" w:hAnsiTheme="minorHAnsi" w:cstheme="minorHAnsi"/>
              </w:rPr>
              <w:t xml:space="preserve">peračního programu </w:t>
            </w:r>
            <w:r w:rsidR="00E71CB7" w:rsidRPr="003D1E91">
              <w:rPr>
                <w:rFonts w:asciiTheme="minorHAnsi" w:hAnsiTheme="minorHAnsi" w:cstheme="minorHAnsi"/>
              </w:rPr>
              <w:t>V</w:t>
            </w:r>
            <w:r w:rsidRPr="003D1E91">
              <w:rPr>
                <w:rFonts w:asciiTheme="minorHAnsi" w:hAnsiTheme="minorHAnsi" w:cstheme="minorHAnsi"/>
              </w:rPr>
              <w:t>ýzkum a vývoj pro inovace (OP VaVpI)</w:t>
            </w:r>
          </w:p>
        </w:tc>
      </w:tr>
      <w:tr w:rsidR="0052281E" w:rsidTr="006415AE">
        <w:trPr>
          <w:trHeight w:val="277"/>
        </w:trPr>
        <w:tc>
          <w:tcPr>
            <w:tcW w:w="9606" w:type="dxa"/>
            <w:gridSpan w:val="6"/>
            <w:shd w:val="clear" w:color="auto" w:fill="595959" w:themeFill="text1" w:themeFillTint="A6"/>
          </w:tcPr>
          <w:p w:rsidR="0052281E" w:rsidRPr="003D1E91" w:rsidRDefault="0052281E" w:rsidP="0052281E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6415AE">
        <w:trPr>
          <w:trHeight w:val="277"/>
        </w:trPr>
        <w:tc>
          <w:tcPr>
            <w:tcW w:w="2667" w:type="dxa"/>
            <w:gridSpan w:val="2"/>
          </w:tcPr>
          <w:p w:rsidR="00AE72C5" w:rsidRPr="00E4455A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6939" w:type="dxa"/>
            <w:gridSpan w:val="4"/>
          </w:tcPr>
          <w:p w:rsidR="00AE72C5" w:rsidRPr="00E4455A" w:rsidRDefault="00834C8A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NETME Centre (Nové technologie pro strojírenství)</w:t>
            </w:r>
          </w:p>
        </w:tc>
      </w:tr>
      <w:tr w:rsidR="00834C8A" w:rsidTr="006415AE">
        <w:trPr>
          <w:trHeight w:val="277"/>
        </w:trPr>
        <w:tc>
          <w:tcPr>
            <w:tcW w:w="2667" w:type="dxa"/>
            <w:gridSpan w:val="2"/>
          </w:tcPr>
          <w:p w:rsidR="00834C8A" w:rsidRPr="00E4455A" w:rsidRDefault="00834C8A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6939" w:type="dxa"/>
            <w:gridSpan w:val="4"/>
          </w:tcPr>
          <w:p w:rsidR="00834C8A" w:rsidRPr="00E4455A" w:rsidRDefault="00834C8A" w:rsidP="004D6113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Vysoké učení technické v Brně</w:t>
            </w:r>
          </w:p>
        </w:tc>
      </w:tr>
      <w:tr w:rsidR="00834C8A" w:rsidTr="006415AE">
        <w:trPr>
          <w:trHeight w:val="277"/>
        </w:trPr>
        <w:tc>
          <w:tcPr>
            <w:tcW w:w="2667" w:type="dxa"/>
            <w:gridSpan w:val="2"/>
          </w:tcPr>
          <w:p w:rsidR="00834C8A" w:rsidRPr="00E4455A" w:rsidRDefault="00834C8A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 Registrační číslo projektu</w:t>
            </w:r>
          </w:p>
        </w:tc>
        <w:tc>
          <w:tcPr>
            <w:tcW w:w="6939" w:type="dxa"/>
            <w:gridSpan w:val="4"/>
          </w:tcPr>
          <w:p w:rsidR="00834C8A" w:rsidRPr="00E4455A" w:rsidRDefault="00834C8A" w:rsidP="00834C8A">
            <w:pPr>
              <w:tabs>
                <w:tab w:val="left" w:pos="1644"/>
              </w:tabs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CZ.1.05/2.1.00/01.0002</w:t>
            </w:r>
          </w:p>
        </w:tc>
      </w:tr>
      <w:tr w:rsidR="00834C8A" w:rsidTr="006415AE">
        <w:trPr>
          <w:trHeight w:val="277"/>
        </w:trPr>
        <w:tc>
          <w:tcPr>
            <w:tcW w:w="2667" w:type="dxa"/>
            <w:gridSpan w:val="2"/>
          </w:tcPr>
          <w:p w:rsidR="00834C8A" w:rsidRPr="00E4455A" w:rsidRDefault="00834C8A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6939" w:type="dxa"/>
            <w:gridSpan w:val="4"/>
          </w:tcPr>
          <w:p w:rsidR="00834C8A" w:rsidRPr="00E4455A" w:rsidRDefault="00834C8A" w:rsidP="004D6113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8A31AB">
              <w:rPr>
                <w:rFonts w:asciiTheme="minorHAnsi" w:hAnsiTheme="minorHAnsi" w:cstheme="minorHAnsi"/>
                <w:sz w:val="18"/>
                <w:szCs w:val="18"/>
              </w:rPr>
              <w:t>Antonínská 548/1, 602 00 Brno</w:t>
            </w:r>
          </w:p>
        </w:tc>
      </w:tr>
      <w:tr w:rsidR="00834C8A" w:rsidTr="006415AE">
        <w:trPr>
          <w:trHeight w:val="277"/>
        </w:trPr>
        <w:tc>
          <w:tcPr>
            <w:tcW w:w="2667" w:type="dxa"/>
            <w:gridSpan w:val="2"/>
          </w:tcPr>
          <w:p w:rsidR="00834C8A" w:rsidRPr="00E4455A" w:rsidRDefault="00834C8A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6939" w:type="dxa"/>
            <w:gridSpan w:val="4"/>
          </w:tcPr>
          <w:p w:rsidR="00834C8A" w:rsidRPr="00E4455A" w:rsidRDefault="00834C8A" w:rsidP="004D6113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8A31AB">
              <w:rPr>
                <w:rFonts w:asciiTheme="minorHAnsi" w:hAnsiTheme="minorHAnsi" w:cstheme="minorHAnsi"/>
                <w:sz w:val="18"/>
                <w:szCs w:val="18"/>
              </w:rPr>
              <w:t>.2 Regionální VaV Centra</w:t>
            </w:r>
          </w:p>
        </w:tc>
      </w:tr>
      <w:tr w:rsidR="00834C8A" w:rsidTr="006415AE">
        <w:trPr>
          <w:trHeight w:val="277"/>
        </w:trPr>
        <w:tc>
          <w:tcPr>
            <w:tcW w:w="2667" w:type="dxa"/>
            <w:gridSpan w:val="2"/>
          </w:tcPr>
          <w:p w:rsidR="00834C8A" w:rsidRPr="00E4455A" w:rsidRDefault="00834C8A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6939" w:type="dxa"/>
            <w:gridSpan w:val="4"/>
          </w:tcPr>
          <w:p w:rsidR="00834C8A" w:rsidRPr="00E4455A" w:rsidRDefault="00834C8A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24.11.2009</w:t>
            </w:r>
          </w:p>
        </w:tc>
      </w:tr>
      <w:tr w:rsidR="00834C8A" w:rsidTr="006415AE">
        <w:trPr>
          <w:trHeight w:val="623"/>
        </w:trPr>
        <w:tc>
          <w:tcPr>
            <w:tcW w:w="2667" w:type="dxa"/>
            <w:gridSpan w:val="2"/>
          </w:tcPr>
          <w:p w:rsidR="00834C8A" w:rsidRPr="00E4455A" w:rsidRDefault="00834C8A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Období realizace projektu</w:t>
            </w:r>
          </w:p>
        </w:tc>
        <w:tc>
          <w:tcPr>
            <w:tcW w:w="3300" w:type="dxa"/>
            <w:gridSpan w:val="2"/>
          </w:tcPr>
          <w:p w:rsidR="00834C8A" w:rsidRPr="00E4455A" w:rsidRDefault="00834C8A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34C8A" w:rsidRPr="00E4455A" w:rsidRDefault="00834C8A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Datum zahájení </w:t>
            </w:r>
          </w:p>
          <w:p w:rsidR="00834C8A" w:rsidRPr="00E4455A" w:rsidRDefault="00834C8A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realizace projektu: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1.1.2010</w:t>
            </w:r>
          </w:p>
          <w:p w:rsidR="00834C8A" w:rsidRPr="00E4455A" w:rsidRDefault="00834C8A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39" w:type="dxa"/>
            <w:gridSpan w:val="2"/>
          </w:tcPr>
          <w:p w:rsidR="00834C8A" w:rsidRPr="00E4455A" w:rsidRDefault="00834C8A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34C8A" w:rsidRPr="00E4455A" w:rsidRDefault="00834C8A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Datum ukončení </w:t>
            </w:r>
          </w:p>
          <w:p w:rsidR="00834C8A" w:rsidRPr="00E4455A" w:rsidRDefault="00834C8A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realizace projektu: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31.12.2013</w:t>
            </w:r>
          </w:p>
        </w:tc>
      </w:tr>
      <w:tr w:rsidR="00834C8A" w:rsidTr="006415AE">
        <w:trPr>
          <w:trHeight w:val="277"/>
        </w:trPr>
        <w:tc>
          <w:tcPr>
            <w:tcW w:w="2667" w:type="dxa"/>
            <w:gridSpan w:val="2"/>
          </w:tcPr>
          <w:p w:rsidR="00834C8A" w:rsidRPr="00E4455A" w:rsidRDefault="00834C8A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300" w:type="dxa"/>
            <w:gridSpan w:val="2"/>
          </w:tcPr>
          <w:p w:rsidR="00834C8A" w:rsidRPr="00E4455A" w:rsidRDefault="00834C8A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34C8A" w:rsidRPr="00E4455A" w:rsidRDefault="00834C8A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Celková výše dotace v Kč</w:t>
            </w:r>
          </w:p>
          <w:p w:rsidR="009E3D58" w:rsidRDefault="00834C8A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(částka z RoPD bez snížení):</w:t>
            </w:r>
            <w:r w:rsidR="009E3D5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834C8A" w:rsidRPr="00E4455A" w:rsidRDefault="009E3D58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767 502 287 Kč</w:t>
            </w:r>
          </w:p>
        </w:tc>
        <w:tc>
          <w:tcPr>
            <w:tcW w:w="3639" w:type="dxa"/>
            <w:gridSpan w:val="2"/>
          </w:tcPr>
          <w:p w:rsidR="00834C8A" w:rsidRPr="00E4455A" w:rsidRDefault="00834C8A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Podíl ze státního rozpočtu v CZK (15 %):</w:t>
            </w:r>
          </w:p>
          <w:p w:rsidR="00834C8A" w:rsidRPr="00E4455A" w:rsidRDefault="009E3D5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115 125 343,05 Kč</w:t>
            </w:r>
          </w:p>
          <w:p w:rsidR="00834C8A" w:rsidRPr="00E4455A" w:rsidRDefault="00834C8A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Podíl z EU v  CZK  (85 %):</w:t>
            </w:r>
          </w:p>
          <w:p w:rsidR="00834C8A" w:rsidRPr="00E4455A" w:rsidRDefault="009E3D5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652 376 943,95 Kč</w:t>
            </w:r>
          </w:p>
        </w:tc>
      </w:tr>
      <w:tr w:rsidR="00834C8A" w:rsidTr="006415AE">
        <w:trPr>
          <w:trHeight w:val="1191"/>
        </w:trPr>
        <w:tc>
          <w:tcPr>
            <w:tcW w:w="2667" w:type="dxa"/>
            <w:gridSpan w:val="2"/>
          </w:tcPr>
          <w:p w:rsidR="00834C8A" w:rsidRPr="00E4455A" w:rsidRDefault="00834C8A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Struktura výdajů </w:t>
            </w: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(dle schválených výdajů z RoPD)</w:t>
            </w:r>
          </w:p>
        </w:tc>
        <w:tc>
          <w:tcPr>
            <w:tcW w:w="6939" w:type="dxa"/>
            <w:gridSpan w:val="4"/>
          </w:tcPr>
          <w:p w:rsidR="00834C8A" w:rsidRPr="00E4455A" w:rsidRDefault="00834C8A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Stavební část (Rekonstrukce, budovy, pozemky):</w:t>
            </w:r>
            <w:r w:rsidR="009E3D58">
              <w:rPr>
                <w:rFonts w:asciiTheme="minorHAnsi" w:hAnsiTheme="minorHAnsi" w:cstheme="minorHAnsi"/>
                <w:sz w:val="18"/>
                <w:szCs w:val="18"/>
              </w:rPr>
              <w:t xml:space="preserve"> 312 217 801 Kč</w:t>
            </w:r>
          </w:p>
          <w:p w:rsidR="00834C8A" w:rsidRPr="00E4455A" w:rsidRDefault="00834C8A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Přístrojové vybavení:</w:t>
            </w:r>
            <w:r w:rsidR="009E3D58">
              <w:rPr>
                <w:rFonts w:asciiTheme="minorHAnsi" w:hAnsiTheme="minorHAnsi" w:cstheme="minorHAnsi"/>
                <w:sz w:val="18"/>
                <w:szCs w:val="18"/>
              </w:rPr>
              <w:t xml:space="preserve"> 273 950 171 Kč</w:t>
            </w:r>
          </w:p>
          <w:p w:rsidR="00834C8A" w:rsidRPr="00E4455A" w:rsidRDefault="00834C8A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Mzdové výdaje:</w:t>
            </w:r>
            <w:r w:rsidR="009E3D58">
              <w:rPr>
                <w:rFonts w:asciiTheme="minorHAnsi" w:hAnsiTheme="minorHAnsi" w:cstheme="minorHAnsi"/>
                <w:sz w:val="18"/>
                <w:szCs w:val="18"/>
              </w:rPr>
              <w:t xml:space="preserve"> 98 099 506 Kč</w:t>
            </w:r>
          </w:p>
          <w:p w:rsidR="00834C8A" w:rsidRPr="00E4455A" w:rsidRDefault="00834C8A" w:rsidP="009E3D5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Ostatní (spolu s výše uvedenými položkami dává celkovou částku z RoPD):</w:t>
            </w:r>
            <w:r w:rsidR="009E3D58">
              <w:rPr>
                <w:rFonts w:asciiTheme="minorHAnsi" w:hAnsiTheme="minorHAnsi" w:cstheme="minorHAnsi"/>
                <w:sz w:val="18"/>
                <w:szCs w:val="18"/>
              </w:rPr>
              <w:t xml:space="preserve"> 83 234 809 Kč </w:t>
            </w:r>
          </w:p>
        </w:tc>
      </w:tr>
      <w:tr w:rsidR="00834C8A" w:rsidTr="006415AE">
        <w:trPr>
          <w:trHeight w:val="1116"/>
        </w:trPr>
        <w:tc>
          <w:tcPr>
            <w:tcW w:w="2667" w:type="dxa"/>
            <w:gridSpan w:val="2"/>
          </w:tcPr>
          <w:p w:rsidR="00834C8A" w:rsidRPr="00E4455A" w:rsidRDefault="00834C8A" w:rsidP="008353DD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Stručný popis projektu</w:t>
            </w:r>
          </w:p>
          <w:p w:rsidR="00834C8A" w:rsidRPr="0060312A" w:rsidRDefault="00834C8A" w:rsidP="008353DD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(zhruba 250 znaků)</w:t>
            </w:r>
          </w:p>
        </w:tc>
        <w:tc>
          <w:tcPr>
            <w:tcW w:w="6939" w:type="dxa"/>
            <w:gridSpan w:val="4"/>
          </w:tcPr>
          <w:p w:rsidR="00834C8A" w:rsidRPr="00E4455A" w:rsidRDefault="00A13C65" w:rsidP="00A13C65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13C65">
              <w:rPr>
                <w:rFonts w:asciiTheme="minorHAnsi" w:hAnsiTheme="minorHAnsi" w:cstheme="minorHAnsi"/>
                <w:sz w:val="18"/>
                <w:szCs w:val="18"/>
              </w:rPr>
              <w:t>Projekt NETME Centre je zaměřen na progresivní technologie z oblasti strojního inženýrství s hraničními přesahy do souvisejících oborů</w:t>
            </w:r>
            <w:r w:rsidR="00DF6A87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13C65">
              <w:rPr>
                <w:rFonts w:asciiTheme="minorHAnsi" w:hAnsiTheme="minorHAnsi" w:cstheme="minorHAnsi"/>
                <w:sz w:val="18"/>
                <w:szCs w:val="18"/>
              </w:rPr>
              <w:t xml:space="preserve"> jako jsou procesní inženýrství, environmentální technologie, energetika, mechatronické soustavy, pokročilé materiály, virtuální navrhování a zkušebnictví, atd. Aktivity Centra mají za cíl rozvinout spolupráci s aplikační sférou a posílit tak konkurenceschopnost regionu, podílet se na rozvoji znalostní ekonomiky regionu a umožnit soukromým subjektům pružný přístup k nejnovějším výsledkům výzkumu na smluvní bázi a s cílem zajistit maximální aplikační potenciál. NETME Centre PLUS je projektem zajišťujícím udržitelnost regionálního výzkumného a vývojového centra NETME. </w:t>
            </w:r>
          </w:p>
        </w:tc>
      </w:tr>
      <w:tr w:rsidR="00834C8A" w:rsidTr="006415AE">
        <w:trPr>
          <w:trHeight w:val="277"/>
        </w:trPr>
        <w:tc>
          <w:tcPr>
            <w:tcW w:w="2667" w:type="dxa"/>
            <w:gridSpan w:val="2"/>
          </w:tcPr>
          <w:p w:rsidR="00834C8A" w:rsidRPr="00E4455A" w:rsidRDefault="00834C8A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Zahájení / ukončení stavby / rekonstrukce </w:t>
            </w: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(pokud je relevantní)</w:t>
            </w:r>
          </w:p>
        </w:tc>
        <w:tc>
          <w:tcPr>
            <w:tcW w:w="3300" w:type="dxa"/>
            <w:gridSpan w:val="2"/>
          </w:tcPr>
          <w:p w:rsidR="00834C8A" w:rsidRPr="00E4455A" w:rsidRDefault="00834C8A" w:rsidP="00D415F6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Datum:</w:t>
            </w:r>
            <w:r w:rsidR="008145A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415F6" w:rsidRPr="00D415F6">
              <w:rPr>
                <w:rFonts w:asciiTheme="minorHAnsi" w:hAnsiTheme="minorHAnsi" w:cstheme="minorHAnsi"/>
                <w:sz w:val="18"/>
                <w:szCs w:val="18"/>
              </w:rPr>
              <w:t>24.11.2009</w:t>
            </w:r>
            <w:r w:rsidR="00B04713">
              <w:rPr>
                <w:rFonts w:asciiTheme="minorHAnsi" w:hAnsiTheme="minorHAnsi" w:cstheme="minorHAnsi"/>
                <w:sz w:val="18"/>
                <w:szCs w:val="18"/>
              </w:rPr>
              <w:t xml:space="preserve"> – 14.9.2012</w:t>
            </w:r>
            <w:r w:rsidR="00D415F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639" w:type="dxa"/>
            <w:gridSpan w:val="2"/>
          </w:tcPr>
          <w:p w:rsidR="00834C8A" w:rsidRPr="00E4455A" w:rsidRDefault="00834C8A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Generální dodavatel:</w:t>
            </w:r>
            <w:r w:rsidR="008145AE">
              <w:rPr>
                <w:rFonts w:asciiTheme="minorHAnsi" w:hAnsiTheme="minorHAnsi" w:cstheme="minorHAnsi"/>
                <w:sz w:val="18"/>
                <w:szCs w:val="18"/>
              </w:rPr>
              <w:t xml:space="preserve"> IMOS Brno, a.s.</w:t>
            </w:r>
          </w:p>
        </w:tc>
      </w:tr>
      <w:tr w:rsidR="00834C8A" w:rsidTr="006415AE">
        <w:trPr>
          <w:trHeight w:val="1290"/>
        </w:trPr>
        <w:tc>
          <w:tcPr>
            <w:tcW w:w="2667" w:type="dxa"/>
            <w:gridSpan w:val="2"/>
          </w:tcPr>
          <w:p w:rsidR="00834C8A" w:rsidRPr="00E4455A" w:rsidRDefault="00834C8A" w:rsidP="00CD0222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Výstupy projektu </w:t>
            </w: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(popis plánu hlavních výstupů z TA, tj. budova, přístroje a lidé, včetně uvedení kódů, popisů a hodnot závazných monitorovacích indikátorů v době ukončení projektu a k roku 2015)</w:t>
            </w:r>
          </w:p>
        </w:tc>
        <w:tc>
          <w:tcPr>
            <w:tcW w:w="6939" w:type="dxa"/>
            <w:gridSpan w:val="4"/>
          </w:tcPr>
          <w:tbl>
            <w:tblPr>
              <w:tblW w:w="6548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1637"/>
              <w:gridCol w:w="1637"/>
              <w:gridCol w:w="1637"/>
              <w:gridCol w:w="1637"/>
            </w:tblGrid>
            <w:tr w:rsidR="008F7D43" w:rsidRPr="00A13C65" w:rsidTr="00D430E6">
              <w:trPr>
                <w:trHeight w:val="255"/>
              </w:trPr>
              <w:tc>
                <w:tcPr>
                  <w:tcW w:w="1637" w:type="dxa"/>
                  <w:vAlign w:val="center"/>
                </w:tcPr>
                <w:p w:rsidR="008F7D43" w:rsidRPr="00060876" w:rsidRDefault="008F7D43" w:rsidP="009D1C9D">
                  <w:pPr>
                    <w:spacing w:after="0" w:line="240" w:lineRule="auto"/>
                    <w:jc w:val="center"/>
                    <w:rPr>
                      <w:rFonts w:cs="Times New Roman"/>
                      <w:b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b/>
                      <w:sz w:val="16"/>
                      <w:szCs w:val="16"/>
                      <w:lang w:eastAsia="cs-CZ"/>
                    </w:rPr>
                    <w:t>Kód MI</w:t>
                  </w:r>
                </w:p>
              </w:tc>
              <w:tc>
                <w:tcPr>
                  <w:tcW w:w="1637" w:type="dxa"/>
                  <w:vAlign w:val="center"/>
                </w:tcPr>
                <w:p w:rsidR="008F7D43" w:rsidRPr="00060876" w:rsidRDefault="008F7D43" w:rsidP="009D1C9D">
                  <w:pPr>
                    <w:spacing w:after="0"/>
                    <w:ind w:left="-6"/>
                    <w:jc w:val="center"/>
                    <w:rPr>
                      <w:rFonts w:cs="Times New Roman"/>
                      <w:b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b/>
                      <w:sz w:val="16"/>
                      <w:szCs w:val="16"/>
                    </w:rPr>
                    <w:t>k datu ukončení realizace projektu (plán)</w:t>
                  </w:r>
                </w:p>
              </w:tc>
              <w:tc>
                <w:tcPr>
                  <w:tcW w:w="1637" w:type="dxa"/>
                  <w:vAlign w:val="center"/>
                </w:tcPr>
                <w:p w:rsidR="008F7D43" w:rsidRPr="00060876" w:rsidRDefault="008F7D43" w:rsidP="009D1C9D">
                  <w:pPr>
                    <w:spacing w:after="0"/>
                    <w:ind w:left="-6"/>
                    <w:jc w:val="center"/>
                    <w:rPr>
                      <w:rFonts w:cs="Times New Roman"/>
                      <w:b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b/>
                      <w:sz w:val="16"/>
                      <w:szCs w:val="16"/>
                    </w:rPr>
                    <w:t>k datu ukončení realizace projektu (skutečnost)</w:t>
                  </w:r>
                </w:p>
              </w:tc>
              <w:tc>
                <w:tcPr>
                  <w:tcW w:w="1637" w:type="dxa"/>
                  <w:vAlign w:val="center"/>
                </w:tcPr>
                <w:p w:rsidR="008F7D43" w:rsidRPr="00060876" w:rsidRDefault="008F7D43" w:rsidP="009D1C9D">
                  <w:pPr>
                    <w:spacing w:after="0"/>
                    <w:jc w:val="center"/>
                    <w:rPr>
                      <w:rFonts w:cs="Times New Roman"/>
                      <w:b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b/>
                      <w:sz w:val="16"/>
                      <w:szCs w:val="16"/>
                    </w:rPr>
                    <w:t>k 31.12.2015</w:t>
                  </w:r>
                </w:p>
              </w:tc>
            </w:tr>
            <w:tr w:rsidR="008F7D43" w:rsidRPr="00A13C65" w:rsidTr="00D430E6">
              <w:trPr>
                <w:trHeight w:val="255"/>
              </w:trPr>
              <w:tc>
                <w:tcPr>
                  <w:tcW w:w="1637" w:type="dxa"/>
                  <w:vAlign w:val="bottom"/>
                </w:tcPr>
                <w:p w:rsidR="008F7D43" w:rsidRPr="00060876" w:rsidRDefault="008F7D43" w:rsidP="009D1C9D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110502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C952BC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173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057297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226,03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C952BC" w:rsidP="009D1C9D">
                  <w:pPr>
                    <w:spacing w:after="0" w:line="240" w:lineRule="auto"/>
                    <w:ind w:hanging="7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46</w:t>
                  </w:r>
                  <w:r w:rsidR="008F7D43" w:rsidRPr="00A13C65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8F7D43" w:rsidRPr="00A13C65" w:rsidTr="00D430E6">
              <w:trPr>
                <w:trHeight w:val="510"/>
              </w:trPr>
              <w:tc>
                <w:tcPr>
                  <w:tcW w:w="1637" w:type="dxa"/>
                  <w:vAlign w:val="bottom"/>
                </w:tcPr>
                <w:p w:rsidR="008F7D43" w:rsidRPr="00060876" w:rsidRDefault="008F7D43" w:rsidP="009D1C9D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110503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057297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057297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4,8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8F7D43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13C65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20</w:t>
                  </w:r>
                </w:p>
              </w:tc>
            </w:tr>
            <w:tr w:rsidR="008F7D43" w:rsidRPr="00A13C65" w:rsidTr="00D430E6">
              <w:trPr>
                <w:trHeight w:val="255"/>
              </w:trPr>
              <w:tc>
                <w:tcPr>
                  <w:tcW w:w="1637" w:type="dxa"/>
                  <w:vAlign w:val="bottom"/>
                </w:tcPr>
                <w:p w:rsidR="008F7D43" w:rsidRPr="00060876" w:rsidRDefault="008F7D43" w:rsidP="009D1C9D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110504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8F7D43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13C65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057297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116,8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8F7D43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13C65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41</w:t>
                  </w:r>
                </w:p>
              </w:tc>
            </w:tr>
            <w:tr w:rsidR="008F7D43" w:rsidRPr="00A13C65" w:rsidTr="00D430E6">
              <w:trPr>
                <w:trHeight w:val="255"/>
              </w:trPr>
              <w:tc>
                <w:tcPr>
                  <w:tcW w:w="1637" w:type="dxa"/>
                  <w:vAlign w:val="bottom"/>
                </w:tcPr>
                <w:p w:rsidR="008F7D43" w:rsidRPr="00060876" w:rsidRDefault="008F7D43" w:rsidP="009D1C9D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111200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8F7D43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13C65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057297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63 310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8F7D43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13C65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53 323,8</w:t>
                  </w:r>
                </w:p>
              </w:tc>
            </w:tr>
            <w:tr w:rsidR="008F7D43" w:rsidRPr="00A13C65" w:rsidTr="00D430E6">
              <w:trPr>
                <w:trHeight w:val="255"/>
              </w:trPr>
              <w:tc>
                <w:tcPr>
                  <w:tcW w:w="1637" w:type="dxa"/>
                  <w:vAlign w:val="bottom"/>
                </w:tcPr>
                <w:p w:rsidR="008F7D43" w:rsidRPr="00060876" w:rsidRDefault="008F7D43" w:rsidP="009D1C9D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074901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8F7D43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13C65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228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057297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493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8F7D43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13C65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518</w:t>
                  </w:r>
                </w:p>
              </w:tc>
            </w:tr>
            <w:tr w:rsidR="008F7D43" w:rsidRPr="00A13C65" w:rsidTr="00D430E6">
              <w:trPr>
                <w:trHeight w:val="255"/>
              </w:trPr>
              <w:tc>
                <w:tcPr>
                  <w:tcW w:w="1637" w:type="dxa"/>
                  <w:vAlign w:val="bottom"/>
                </w:tcPr>
                <w:p w:rsidR="008F7D43" w:rsidRPr="00060876" w:rsidRDefault="008F7D43" w:rsidP="009D1C9D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074902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8F7D43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13C65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34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057297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47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8F7D43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13C65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76</w:t>
                  </w:r>
                </w:p>
              </w:tc>
            </w:tr>
            <w:tr w:rsidR="008F7D43" w:rsidRPr="00A13C65" w:rsidTr="00D430E6">
              <w:trPr>
                <w:trHeight w:val="255"/>
              </w:trPr>
              <w:tc>
                <w:tcPr>
                  <w:tcW w:w="1637" w:type="dxa"/>
                  <w:vAlign w:val="bottom"/>
                </w:tcPr>
                <w:p w:rsidR="008F7D43" w:rsidRPr="00060876" w:rsidRDefault="008F7D43" w:rsidP="009D1C9D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110720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8F7D43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13C65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-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8F7D43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13C65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-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8F7D43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13C65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12</w:t>
                  </w:r>
                </w:p>
              </w:tc>
            </w:tr>
            <w:tr w:rsidR="008F7D43" w:rsidRPr="00A13C65" w:rsidTr="00D430E6">
              <w:trPr>
                <w:trHeight w:val="510"/>
              </w:trPr>
              <w:tc>
                <w:tcPr>
                  <w:tcW w:w="1637" w:type="dxa"/>
                  <w:vAlign w:val="bottom"/>
                </w:tcPr>
                <w:p w:rsidR="008F7D43" w:rsidRPr="00060876" w:rsidRDefault="008F7D43" w:rsidP="009D1C9D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110815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057297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115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057297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361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8F7D43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13C65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120</w:t>
                  </w:r>
                </w:p>
              </w:tc>
            </w:tr>
            <w:tr w:rsidR="008F7D43" w:rsidRPr="00A13C65" w:rsidTr="00D430E6">
              <w:trPr>
                <w:trHeight w:val="255"/>
              </w:trPr>
              <w:tc>
                <w:tcPr>
                  <w:tcW w:w="1637" w:type="dxa"/>
                  <w:vAlign w:val="bottom"/>
                </w:tcPr>
                <w:p w:rsidR="008F7D43" w:rsidRPr="00060876" w:rsidRDefault="008F7D43" w:rsidP="009D1C9D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110300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8F7D43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13C65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77,0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057297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88,08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8F7D43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13C65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105,9</w:t>
                  </w:r>
                </w:p>
              </w:tc>
            </w:tr>
            <w:tr w:rsidR="008F7D43" w:rsidRPr="00A13C65" w:rsidTr="00D430E6">
              <w:trPr>
                <w:trHeight w:val="255"/>
              </w:trPr>
              <w:tc>
                <w:tcPr>
                  <w:tcW w:w="1637" w:type="dxa"/>
                  <w:vAlign w:val="bottom"/>
                </w:tcPr>
                <w:p w:rsidR="008F7D43" w:rsidRPr="00060876" w:rsidRDefault="008F7D43" w:rsidP="009D1C9D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071700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8F7D43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13C65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17,6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057297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52,43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8F7D43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13C65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23,13</w:t>
                  </w:r>
                </w:p>
              </w:tc>
            </w:tr>
            <w:tr w:rsidR="008F7D43" w:rsidRPr="00A13C65" w:rsidTr="00D430E6">
              <w:trPr>
                <w:trHeight w:val="255"/>
              </w:trPr>
              <w:tc>
                <w:tcPr>
                  <w:tcW w:w="1637" w:type="dxa"/>
                  <w:vAlign w:val="bottom"/>
                </w:tcPr>
                <w:p w:rsidR="008F7D43" w:rsidRPr="00060876" w:rsidRDefault="008F7D43" w:rsidP="009D1C9D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lastRenderedPageBreak/>
                    <w:t>071900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8F7D43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13C65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13,3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057297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21,93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8F7D43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13C65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16,4</w:t>
                  </w:r>
                </w:p>
              </w:tc>
            </w:tr>
            <w:tr w:rsidR="008F7D43" w:rsidRPr="00A13C65" w:rsidTr="00D430E6">
              <w:trPr>
                <w:trHeight w:val="255"/>
              </w:trPr>
              <w:tc>
                <w:tcPr>
                  <w:tcW w:w="1637" w:type="dxa"/>
                  <w:vAlign w:val="bottom"/>
                </w:tcPr>
                <w:p w:rsidR="008F7D43" w:rsidRPr="00060876" w:rsidRDefault="008F7D43" w:rsidP="009D1C9D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110516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8F7D43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13C65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2349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8F7D43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13C65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2349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8F7D43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13C65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2349</w:t>
                  </w:r>
                </w:p>
              </w:tc>
            </w:tr>
            <w:tr w:rsidR="008F7D43" w:rsidRPr="00A13C65" w:rsidTr="00D430E6">
              <w:trPr>
                <w:trHeight w:val="255"/>
              </w:trPr>
              <w:tc>
                <w:tcPr>
                  <w:tcW w:w="1637" w:type="dxa"/>
                  <w:vAlign w:val="bottom"/>
                </w:tcPr>
                <w:p w:rsidR="008F7D43" w:rsidRPr="00060876" w:rsidRDefault="008F7D43" w:rsidP="009D1C9D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110517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8F7D43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13C65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6125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8F7D43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13C65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6125</w:t>
                  </w:r>
                </w:p>
              </w:tc>
              <w:tc>
                <w:tcPr>
                  <w:tcW w:w="1637" w:type="dxa"/>
                  <w:vAlign w:val="bottom"/>
                </w:tcPr>
                <w:p w:rsidR="008F7D43" w:rsidRPr="00A13C65" w:rsidRDefault="008F7D43" w:rsidP="009D1C9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13C65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6125</w:t>
                  </w:r>
                </w:p>
              </w:tc>
            </w:tr>
          </w:tbl>
          <w:p w:rsidR="00834C8A" w:rsidRPr="00E4455A" w:rsidRDefault="00834C8A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34C8A" w:rsidTr="006415AE">
        <w:tc>
          <w:tcPr>
            <w:tcW w:w="9606" w:type="dxa"/>
            <w:gridSpan w:val="6"/>
            <w:shd w:val="clear" w:color="auto" w:fill="595959" w:themeFill="text1" w:themeFillTint="A6"/>
          </w:tcPr>
          <w:p w:rsidR="00834C8A" w:rsidRPr="003D1E91" w:rsidRDefault="00834C8A" w:rsidP="00A431A3">
            <w:pPr>
              <w:spacing w:before="60" w:after="6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3D1E91">
              <w:rPr>
                <w:rFonts w:asciiTheme="minorHAnsi" w:hAnsiTheme="minorHAnsi" w:cstheme="minorHAnsi"/>
                <w:b/>
                <w:noProof/>
                <w:color w:val="FFFFFF" w:themeColor="background1"/>
                <w:sz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8468499" wp14:editId="4459D233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34C8A" w:rsidRPr="00B07516" w:rsidRDefault="00834C8A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D93287" w:rsidRPr="00D93287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D93287">
                                    <w:rPr>
                                      <w:sz w:val="18"/>
                                      <w:szCs w:val="18"/>
                                    </w:rPr>
                                    <w:t>20.2.2015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834C8A" w:rsidRPr="00B07516" w:rsidRDefault="00834C8A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="00D93287" w:rsidRPr="00D9328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="00D93287">
                              <w:rPr>
                                <w:sz w:val="18"/>
                                <w:szCs w:val="18"/>
                              </w:rPr>
                              <w:t>20.2.2015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Aktuální stav realizace projektu</w:t>
            </w:r>
          </w:p>
        </w:tc>
      </w:tr>
      <w:tr w:rsidR="00A81A2F" w:rsidTr="006415AE">
        <w:trPr>
          <w:trHeight w:val="847"/>
        </w:trPr>
        <w:tc>
          <w:tcPr>
            <w:tcW w:w="2194" w:type="dxa"/>
          </w:tcPr>
          <w:p w:rsidR="00834C8A" w:rsidRPr="00E4455A" w:rsidRDefault="00834C8A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Statutární orgán projektu</w:t>
            </w:r>
          </w:p>
        </w:tc>
        <w:tc>
          <w:tcPr>
            <w:tcW w:w="3400" w:type="dxa"/>
            <w:gridSpan w:val="2"/>
          </w:tcPr>
          <w:p w:rsidR="00834C8A" w:rsidRDefault="00834C8A" w:rsidP="00002DB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Jméno a pracovní pozice:</w:t>
            </w:r>
          </w:p>
          <w:p w:rsidR="00A13C65" w:rsidRPr="00A13C65" w:rsidRDefault="00A13C65" w:rsidP="00A13C65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13C65">
              <w:rPr>
                <w:rFonts w:asciiTheme="minorHAnsi" w:hAnsiTheme="minorHAnsi" w:cstheme="minorHAnsi"/>
                <w:sz w:val="18"/>
                <w:szCs w:val="18"/>
              </w:rPr>
              <w:t xml:space="preserve">prof. RNDr. Ing. Petr Štěpánek, CSc. </w:t>
            </w:r>
          </w:p>
          <w:p w:rsidR="00A13C65" w:rsidRPr="00E4455A" w:rsidRDefault="00A13C65" w:rsidP="00A13C65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13C65">
              <w:rPr>
                <w:rFonts w:asciiTheme="minorHAnsi" w:hAnsiTheme="minorHAnsi" w:cstheme="minorHAnsi"/>
                <w:sz w:val="18"/>
                <w:szCs w:val="18"/>
              </w:rPr>
              <w:t>rektor VUT Brno</w:t>
            </w:r>
          </w:p>
        </w:tc>
        <w:tc>
          <w:tcPr>
            <w:tcW w:w="4012" w:type="dxa"/>
            <w:gridSpan w:val="3"/>
          </w:tcPr>
          <w:p w:rsidR="00834C8A" w:rsidRDefault="00834C8A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Instituce:</w:t>
            </w:r>
          </w:p>
          <w:p w:rsidR="00A13C65" w:rsidRPr="00E4455A" w:rsidRDefault="00A13C65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Vysoké učení technické v Brně</w:t>
            </w:r>
          </w:p>
        </w:tc>
      </w:tr>
      <w:tr w:rsidR="00834C8A" w:rsidTr="006415AE">
        <w:trPr>
          <w:trHeight w:val="1009"/>
        </w:trPr>
        <w:tc>
          <w:tcPr>
            <w:tcW w:w="2194" w:type="dxa"/>
          </w:tcPr>
          <w:p w:rsidR="00834C8A" w:rsidRPr="00E4455A" w:rsidRDefault="00834C8A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Kontaktní osoba projektu</w:t>
            </w:r>
          </w:p>
        </w:tc>
        <w:tc>
          <w:tcPr>
            <w:tcW w:w="7412" w:type="dxa"/>
            <w:gridSpan w:val="5"/>
          </w:tcPr>
          <w:p w:rsidR="00834C8A" w:rsidRPr="00E4455A" w:rsidRDefault="00834C8A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Vedoucí projektu (jméno a pracovní pozice):</w:t>
            </w:r>
          </w:p>
          <w:p w:rsidR="00A13C65" w:rsidRPr="00A13C65" w:rsidRDefault="00A13C65" w:rsidP="00A13C65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13C65">
              <w:rPr>
                <w:rFonts w:asciiTheme="minorHAnsi" w:hAnsiTheme="minorHAnsi" w:cstheme="minorHAnsi"/>
                <w:sz w:val="18"/>
                <w:szCs w:val="18"/>
              </w:rPr>
              <w:t>Ing. Pavel Krečmer, Ph.D.</w:t>
            </w:r>
          </w:p>
          <w:p w:rsidR="00834C8A" w:rsidRPr="00E4455A" w:rsidRDefault="00A13C65" w:rsidP="00A13C65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13C65">
              <w:rPr>
                <w:rFonts w:asciiTheme="minorHAnsi" w:hAnsiTheme="minorHAnsi" w:cstheme="minorHAnsi"/>
                <w:sz w:val="18"/>
                <w:szCs w:val="18"/>
              </w:rPr>
              <w:t>ředitel centra Netme (od 2014)</w:t>
            </w:r>
          </w:p>
          <w:p w:rsidR="00834C8A" w:rsidRDefault="00834C8A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Ekonom:</w:t>
            </w:r>
          </w:p>
          <w:p w:rsidR="00A13C65" w:rsidRDefault="00A13C65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Mgr. Michal Šedivý</w:t>
            </w:r>
          </w:p>
          <w:p w:rsidR="00A13C65" w:rsidRPr="00E4455A" w:rsidRDefault="00A13C65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Finanční manažer</w:t>
            </w:r>
          </w:p>
        </w:tc>
      </w:tr>
      <w:tr w:rsidR="00A81A2F" w:rsidTr="006415AE">
        <w:trPr>
          <w:trHeight w:val="843"/>
        </w:trPr>
        <w:tc>
          <w:tcPr>
            <w:tcW w:w="2194" w:type="dxa"/>
          </w:tcPr>
          <w:p w:rsidR="00834C8A" w:rsidRPr="00E4455A" w:rsidRDefault="00834C8A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Klíčové schválené změny projektu</w:t>
            </w:r>
          </w:p>
        </w:tc>
        <w:tc>
          <w:tcPr>
            <w:tcW w:w="4519" w:type="dxa"/>
            <w:gridSpan w:val="4"/>
          </w:tcPr>
          <w:p w:rsidR="00834C8A" w:rsidRDefault="00834C8A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Stručný popis:</w:t>
            </w:r>
          </w:p>
          <w:p w:rsidR="00057297" w:rsidRPr="00057297" w:rsidRDefault="00057297" w:rsidP="00057297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57297">
              <w:rPr>
                <w:rFonts w:asciiTheme="minorHAnsi" w:hAnsiTheme="minorHAnsi" w:cstheme="minorHAnsi"/>
                <w:sz w:val="18"/>
                <w:szCs w:val="18"/>
              </w:rPr>
              <w:t xml:space="preserve">• posun milníků </w:t>
            </w:r>
          </w:p>
          <w:p w:rsidR="00057297" w:rsidRPr="00057297" w:rsidRDefault="00057297" w:rsidP="00057297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57297">
              <w:rPr>
                <w:rFonts w:asciiTheme="minorHAnsi" w:hAnsiTheme="minorHAnsi" w:cstheme="minorHAnsi"/>
                <w:sz w:val="18"/>
                <w:szCs w:val="18"/>
              </w:rPr>
              <w:t xml:space="preserve">• změna personálního obsazení </w:t>
            </w:r>
          </w:p>
          <w:p w:rsidR="00057297" w:rsidRPr="00057297" w:rsidRDefault="00057297" w:rsidP="00057297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57297">
              <w:rPr>
                <w:rFonts w:asciiTheme="minorHAnsi" w:hAnsiTheme="minorHAnsi" w:cstheme="minorHAnsi"/>
                <w:sz w:val="18"/>
                <w:szCs w:val="18"/>
              </w:rPr>
              <w:t>• přesuny v rozpočtu (přesuny mezi kapitolami), změny finančního plánu (posun v dodávkách vybavení)</w:t>
            </w:r>
          </w:p>
          <w:p w:rsidR="00057297" w:rsidRDefault="00057297" w:rsidP="00057297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57297">
              <w:rPr>
                <w:rFonts w:asciiTheme="minorHAnsi" w:hAnsiTheme="minorHAnsi" w:cstheme="minorHAnsi"/>
                <w:sz w:val="18"/>
                <w:szCs w:val="18"/>
              </w:rPr>
              <w:t xml:space="preserve">• posun termínu ukončení </w:t>
            </w:r>
            <w:r w:rsidR="00A81A2F">
              <w:rPr>
                <w:rFonts w:asciiTheme="minorHAnsi" w:hAnsiTheme="minorHAnsi" w:cstheme="minorHAnsi"/>
                <w:sz w:val="18"/>
                <w:szCs w:val="18"/>
              </w:rPr>
              <w:t xml:space="preserve">infrastrukturní části projektu </w:t>
            </w:r>
            <w:r w:rsidR="00C952BC">
              <w:rPr>
                <w:rFonts w:asciiTheme="minorHAnsi" w:hAnsiTheme="minorHAnsi" w:cstheme="minorHAnsi"/>
                <w:sz w:val="18"/>
                <w:szCs w:val="18"/>
              </w:rPr>
              <w:t xml:space="preserve">posun do 30.9.2013 Dodatkem č. 0002/01/05, </w:t>
            </w:r>
            <w:r w:rsidRPr="00057297">
              <w:rPr>
                <w:rFonts w:asciiTheme="minorHAnsi" w:hAnsiTheme="minorHAnsi" w:cstheme="minorHAnsi"/>
                <w:sz w:val="18"/>
                <w:szCs w:val="18"/>
              </w:rPr>
              <w:t>posun do 31</w:t>
            </w:r>
            <w:r w:rsidR="00C952BC">
              <w:rPr>
                <w:rFonts w:asciiTheme="minorHAnsi" w:hAnsiTheme="minorHAnsi" w:cstheme="minorHAnsi"/>
                <w:sz w:val="18"/>
                <w:szCs w:val="18"/>
              </w:rPr>
              <w:t xml:space="preserve">.12.2013 Dodatkem </w:t>
            </w:r>
            <w:r w:rsidRPr="00057297">
              <w:rPr>
                <w:rFonts w:asciiTheme="minorHAnsi" w:hAnsiTheme="minorHAnsi" w:cstheme="minorHAnsi"/>
                <w:sz w:val="18"/>
                <w:szCs w:val="18"/>
              </w:rPr>
              <w:t>č. 00</w:t>
            </w:r>
            <w:r w:rsidR="00A81A2F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Pr="00057297">
              <w:rPr>
                <w:rFonts w:asciiTheme="minorHAnsi" w:hAnsiTheme="minorHAnsi" w:cstheme="minorHAnsi"/>
                <w:sz w:val="18"/>
                <w:szCs w:val="18"/>
              </w:rPr>
              <w:t>2/01/0</w:t>
            </w:r>
            <w:r w:rsidR="00A81A2F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Pr="00057297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:rsidR="00C952BC" w:rsidRPr="00057297" w:rsidRDefault="00C952BC" w:rsidP="00057297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57297">
              <w:rPr>
                <w:rFonts w:asciiTheme="minorHAnsi" w:hAnsiTheme="minorHAnsi" w:cstheme="minorHAnsi"/>
                <w:sz w:val="18"/>
                <w:szCs w:val="18"/>
              </w:rPr>
              <w:t>•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navýšení MI 110502 k 31.12.2013 z 167 na 173 a k 31.12.2015 z 457 na 467 publikací (Dodatek k RoPD č. 0002/01/06)</w:t>
            </w:r>
          </w:p>
          <w:p w:rsidR="00057297" w:rsidRPr="00E4455A" w:rsidRDefault="00057297" w:rsidP="00A81A2F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57297">
              <w:rPr>
                <w:rFonts w:asciiTheme="minorHAnsi" w:hAnsiTheme="minorHAnsi" w:cstheme="minorHAnsi"/>
                <w:sz w:val="18"/>
                <w:szCs w:val="18"/>
              </w:rPr>
              <w:t xml:space="preserve">• vydefinování účelu dotace </w:t>
            </w:r>
            <w:r w:rsidR="00C952BC">
              <w:rPr>
                <w:rFonts w:asciiTheme="minorHAnsi" w:hAnsiTheme="minorHAnsi" w:cstheme="minorHAnsi"/>
                <w:sz w:val="18"/>
                <w:szCs w:val="18"/>
              </w:rPr>
              <w:t>a zavedení tzv. matice sankcí (D</w:t>
            </w:r>
            <w:r w:rsidRPr="00057297">
              <w:rPr>
                <w:rFonts w:asciiTheme="minorHAnsi" w:hAnsiTheme="minorHAnsi" w:cstheme="minorHAnsi"/>
                <w:sz w:val="18"/>
                <w:szCs w:val="18"/>
              </w:rPr>
              <w:t>odatek k RoPD č. 0012/01/0</w:t>
            </w:r>
            <w:r w:rsidR="00A81A2F">
              <w:rPr>
                <w:rFonts w:asciiTheme="minorHAnsi" w:hAnsiTheme="minorHAnsi" w:cstheme="minorHAnsi"/>
                <w:sz w:val="18"/>
                <w:szCs w:val="18"/>
              </w:rPr>
              <w:t>7</w:t>
            </w:r>
            <w:r w:rsidRPr="00057297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2893" w:type="dxa"/>
          </w:tcPr>
          <w:p w:rsidR="00834C8A" w:rsidRDefault="00834C8A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Finanční dopady:</w:t>
            </w:r>
          </w:p>
          <w:p w:rsidR="00057297" w:rsidRDefault="00057297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57297">
              <w:rPr>
                <w:rFonts w:asciiTheme="minorHAnsi" w:hAnsiTheme="minorHAnsi" w:cstheme="minorHAnsi"/>
                <w:sz w:val="18"/>
                <w:szCs w:val="18"/>
              </w:rPr>
              <w:t>- přesuny v rozpočtu, posun finančního plánu</w:t>
            </w:r>
          </w:p>
          <w:p w:rsidR="00A81A2F" w:rsidRPr="00E4455A" w:rsidRDefault="00A81A2F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 využití 30 % úspory ze zakázky na stavební práce (Dodatek k RoPD č. 0002/01/03)</w:t>
            </w:r>
          </w:p>
        </w:tc>
      </w:tr>
      <w:tr w:rsidR="00834C8A" w:rsidTr="006415AE">
        <w:trPr>
          <w:trHeight w:val="869"/>
        </w:trPr>
        <w:tc>
          <w:tcPr>
            <w:tcW w:w="2194" w:type="dxa"/>
          </w:tcPr>
          <w:p w:rsidR="00834C8A" w:rsidRPr="00E4455A" w:rsidRDefault="00834C8A" w:rsidP="0000024D">
            <w:pPr>
              <w:pStyle w:val="Textkomente"/>
              <w:rPr>
                <w:rFonts w:asciiTheme="minorHAnsi" w:hAnsiTheme="minorHAnsi" w:cstheme="minorHAnsi"/>
                <w:sz w:val="22"/>
                <w:szCs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Věcná realizace projektu </w:t>
            </w: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(stručný popis, v jaké fázi se projekt nachází, jak probíhá jeho realizace a uvedou se aktuální schválené hodnoty MI k výše uvedenému datu a jejich popis)</w:t>
            </w:r>
          </w:p>
        </w:tc>
        <w:tc>
          <w:tcPr>
            <w:tcW w:w="7412" w:type="dxa"/>
            <w:gridSpan w:val="5"/>
          </w:tcPr>
          <w:p w:rsidR="00057297" w:rsidRPr="00057297" w:rsidRDefault="00057297" w:rsidP="00057297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57297">
              <w:rPr>
                <w:rFonts w:asciiTheme="minorHAnsi" w:hAnsiTheme="minorHAnsi" w:cstheme="minorHAnsi"/>
                <w:sz w:val="18"/>
                <w:szCs w:val="18"/>
              </w:rPr>
              <w:t xml:space="preserve">Stavební část (včetně % naplnění) –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Výstavba budov D5new a C3a dokončena. Rekonstrukce laboratoří v prostorách FSI provedena.</w:t>
            </w:r>
          </w:p>
          <w:p w:rsidR="00057297" w:rsidRPr="00057297" w:rsidRDefault="00057297" w:rsidP="00057297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57297">
              <w:rPr>
                <w:rFonts w:asciiTheme="minorHAnsi" w:hAnsiTheme="minorHAnsi" w:cstheme="minorHAnsi"/>
                <w:sz w:val="18"/>
                <w:szCs w:val="18"/>
              </w:rPr>
              <w:t>Přístroje (včetně % naplnění) – klíčové vybavení TA pořízeno</w:t>
            </w:r>
            <w:r w:rsidR="00A81A2F">
              <w:rPr>
                <w:rFonts w:asciiTheme="minorHAnsi" w:hAnsiTheme="minorHAnsi" w:cstheme="minorHAnsi"/>
                <w:sz w:val="18"/>
                <w:szCs w:val="18"/>
              </w:rPr>
              <w:t xml:space="preserve"> a zprovozněno</w:t>
            </w:r>
            <w:r w:rsidRPr="00057297">
              <w:rPr>
                <w:rFonts w:asciiTheme="minorHAnsi" w:hAnsiTheme="minorHAnsi" w:cstheme="minorHAnsi"/>
                <w:sz w:val="18"/>
                <w:szCs w:val="18"/>
              </w:rPr>
              <w:t xml:space="preserve"> (100 % naplněno).</w:t>
            </w:r>
          </w:p>
          <w:p w:rsidR="00057297" w:rsidRPr="00057297" w:rsidRDefault="00057297" w:rsidP="00057297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57297">
              <w:rPr>
                <w:rFonts w:asciiTheme="minorHAnsi" w:hAnsiTheme="minorHAnsi" w:cstheme="minorHAnsi"/>
                <w:sz w:val="18"/>
                <w:szCs w:val="18"/>
              </w:rPr>
              <w:t xml:space="preserve">Personální zajištění (včetně % naplnění) – realizační i výzkumný tým </w:t>
            </w:r>
            <w:r w:rsidR="00A81A2F">
              <w:rPr>
                <w:rFonts w:asciiTheme="minorHAnsi" w:hAnsiTheme="minorHAnsi" w:cstheme="minorHAnsi"/>
                <w:sz w:val="18"/>
                <w:szCs w:val="18"/>
              </w:rPr>
              <w:t>zajištěn</w:t>
            </w:r>
            <w:r w:rsidRPr="00057297">
              <w:rPr>
                <w:rFonts w:asciiTheme="minorHAnsi" w:hAnsiTheme="minorHAnsi" w:cstheme="minorHAnsi"/>
                <w:sz w:val="18"/>
                <w:szCs w:val="18"/>
              </w:rPr>
              <w:t xml:space="preserve"> (100% naplněno).</w:t>
            </w:r>
          </w:p>
          <w:p w:rsidR="00A81A2F" w:rsidRDefault="00A81A2F" w:rsidP="00A81A2F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Projekt se nachází ve fázi</w:t>
            </w:r>
            <w:r w:rsidR="00C952B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udržitelnosti od 1.1.</w:t>
            </w:r>
            <w:r w:rsidR="00DF6A87">
              <w:rPr>
                <w:rFonts w:asciiTheme="minorHAnsi" w:hAnsiTheme="minorHAnsi" w:cstheme="minorHAnsi"/>
                <w:sz w:val="18"/>
                <w:szCs w:val="18"/>
              </w:rPr>
              <w:t>2014. Monitorovací indikátory 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datu ukončení realizace </w:t>
            </w:r>
            <w:r w:rsidR="00DF6A87">
              <w:rPr>
                <w:rFonts w:asciiTheme="minorHAnsi" w:hAnsiTheme="minorHAnsi" w:cstheme="minorHAnsi"/>
                <w:sz w:val="18"/>
                <w:szCs w:val="18"/>
              </w:rPr>
              <w:t xml:space="preserve">byly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napln</w:t>
            </w:r>
            <w:r w:rsidR="00DF6A87">
              <w:rPr>
                <w:rFonts w:asciiTheme="minorHAnsi" w:hAnsiTheme="minorHAnsi" w:cstheme="minorHAnsi"/>
                <w:sz w:val="18"/>
                <w:szCs w:val="18"/>
              </w:rPr>
              <w:t>ěny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057297">
              <w:rPr>
                <w:rFonts w:asciiTheme="minorHAnsi" w:hAnsiTheme="minorHAnsi" w:cstheme="minorHAnsi"/>
                <w:sz w:val="18"/>
                <w:szCs w:val="18"/>
              </w:rPr>
              <w:t xml:space="preserve"> viz tabulka výše.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Během roku 2014 došlo ke změně ředitele centra. Projekt čerpá podporu z NPU I.</w:t>
            </w:r>
            <w:r w:rsidRPr="0005729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A81A2F" w:rsidRDefault="00A81A2F" w:rsidP="00057297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A81A2F" w:rsidRPr="00E4455A" w:rsidRDefault="00A81A2F" w:rsidP="00057297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34C8A" w:rsidTr="006415AE">
        <w:tc>
          <w:tcPr>
            <w:tcW w:w="2194" w:type="dxa"/>
          </w:tcPr>
          <w:p w:rsidR="00834C8A" w:rsidRPr="00E4455A" w:rsidRDefault="00834C8A" w:rsidP="007B2E97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Finanční čerpání projektu</w:t>
            </w:r>
            <w:r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Pr="007B2E97">
              <w:rPr>
                <w:rFonts w:asciiTheme="minorHAnsi" w:hAnsiTheme="minorHAnsi" w:cstheme="minorHAnsi"/>
                <w:sz w:val="18"/>
                <w:szCs w:val="18"/>
              </w:rPr>
              <w:t>(bráno 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plného</w:t>
            </w:r>
            <w:r w:rsidRPr="007B2E97">
              <w:rPr>
                <w:rFonts w:asciiTheme="minorHAnsi" w:hAnsiTheme="minorHAnsi" w:cstheme="minorHAnsi"/>
                <w:sz w:val="18"/>
                <w:szCs w:val="18"/>
              </w:rPr>
              <w:t xml:space="preserve"> rozpočtu po změnách,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tj.</w:t>
            </w:r>
            <w:r w:rsidRPr="007B2E97">
              <w:rPr>
                <w:rFonts w:asciiTheme="minorHAnsi" w:hAnsiTheme="minorHAnsi" w:cstheme="minorHAnsi"/>
                <w:sz w:val="18"/>
                <w:szCs w:val="18"/>
              </w:rPr>
              <w:t xml:space="preserve"> bez ponížení)</w:t>
            </w:r>
          </w:p>
        </w:tc>
        <w:tc>
          <w:tcPr>
            <w:tcW w:w="7412" w:type="dxa"/>
            <w:gridSpan w:val="5"/>
          </w:tcPr>
          <w:p w:rsidR="00834C8A" w:rsidRPr="00E4455A" w:rsidRDefault="00834C8A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Předložené výdaje (v Kč i %):</w:t>
            </w:r>
            <w:r w:rsidR="00641C0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41C01" w:rsidRPr="00641C01">
              <w:rPr>
                <w:rFonts w:asciiTheme="minorHAnsi" w:hAnsiTheme="minorHAnsi" w:cstheme="minorHAnsi"/>
                <w:sz w:val="18"/>
                <w:szCs w:val="18"/>
              </w:rPr>
              <w:t>749</w:t>
            </w:r>
            <w:r w:rsidR="00641C0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641C01" w:rsidRPr="00641C01">
              <w:rPr>
                <w:rFonts w:asciiTheme="minorHAnsi" w:hAnsiTheme="minorHAnsi" w:cstheme="minorHAnsi"/>
                <w:sz w:val="18"/>
                <w:szCs w:val="18"/>
              </w:rPr>
              <w:t>672</w:t>
            </w:r>
            <w:r w:rsidR="00641C0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41C01" w:rsidRPr="00641C01">
              <w:rPr>
                <w:rFonts w:asciiTheme="minorHAnsi" w:hAnsiTheme="minorHAnsi" w:cstheme="minorHAnsi"/>
                <w:sz w:val="18"/>
                <w:szCs w:val="18"/>
              </w:rPr>
              <w:t>530,12</w:t>
            </w:r>
            <w:r w:rsidR="00641C01">
              <w:rPr>
                <w:rFonts w:asciiTheme="minorHAnsi" w:hAnsiTheme="minorHAnsi" w:cstheme="minorHAnsi"/>
                <w:sz w:val="18"/>
                <w:szCs w:val="18"/>
              </w:rPr>
              <w:t xml:space="preserve"> Kč (98,1 %)</w:t>
            </w:r>
          </w:p>
          <w:p w:rsidR="00834C8A" w:rsidRPr="00E4455A" w:rsidRDefault="00834C8A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Schválené výdaje (v Kč i %):</w:t>
            </w:r>
            <w:r w:rsidR="00641C0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41C01" w:rsidRPr="00641C01">
              <w:rPr>
                <w:rFonts w:asciiTheme="minorHAnsi" w:hAnsiTheme="minorHAnsi" w:cstheme="minorHAnsi"/>
                <w:sz w:val="18"/>
                <w:szCs w:val="18"/>
              </w:rPr>
              <w:t>739</w:t>
            </w:r>
            <w:r w:rsidR="00641C0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641C01" w:rsidRPr="00641C01">
              <w:rPr>
                <w:rFonts w:asciiTheme="minorHAnsi" w:hAnsiTheme="minorHAnsi" w:cstheme="minorHAnsi"/>
                <w:sz w:val="18"/>
                <w:szCs w:val="18"/>
              </w:rPr>
              <w:t>475</w:t>
            </w:r>
            <w:r w:rsidR="00641C0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41C01" w:rsidRPr="00641C01">
              <w:rPr>
                <w:rFonts w:asciiTheme="minorHAnsi" w:hAnsiTheme="minorHAnsi" w:cstheme="minorHAnsi"/>
                <w:sz w:val="18"/>
                <w:szCs w:val="18"/>
              </w:rPr>
              <w:t>351,56</w:t>
            </w:r>
            <w:r w:rsidR="00641C01">
              <w:rPr>
                <w:rFonts w:asciiTheme="minorHAnsi" w:hAnsiTheme="minorHAnsi" w:cstheme="minorHAnsi"/>
                <w:sz w:val="18"/>
                <w:szCs w:val="18"/>
              </w:rPr>
              <w:t xml:space="preserve"> Kč (96,8 %)</w:t>
            </w:r>
          </w:p>
          <w:p w:rsidR="00834C8A" w:rsidRPr="00E4455A" w:rsidRDefault="00834C8A" w:rsidP="001057A4">
            <w:pPr>
              <w:pStyle w:val="Textkomente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Certifikované výdaje (v Kč i %, pozn. Certifikace probíhá s různým časovým odstupem, data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mohou mít až půlroční zpoždění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. Poslední aktualizace k 31.</w:t>
            </w:r>
            <w:r w:rsidR="00641C0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12.</w:t>
            </w:r>
            <w:r w:rsidR="00641C0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2014):</w:t>
            </w:r>
            <w:r w:rsidR="00641C0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41C01" w:rsidRPr="00641C01">
              <w:rPr>
                <w:rFonts w:asciiTheme="minorHAnsi" w:hAnsiTheme="minorHAnsi" w:cstheme="minorHAnsi"/>
                <w:sz w:val="18"/>
                <w:szCs w:val="18"/>
              </w:rPr>
              <w:t>735</w:t>
            </w:r>
            <w:r w:rsidR="00641C0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641C01" w:rsidRPr="00641C01">
              <w:rPr>
                <w:rFonts w:asciiTheme="minorHAnsi" w:hAnsiTheme="minorHAnsi" w:cstheme="minorHAnsi"/>
                <w:sz w:val="18"/>
                <w:szCs w:val="18"/>
              </w:rPr>
              <w:t>230</w:t>
            </w:r>
            <w:r w:rsidR="00641C0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41C01" w:rsidRPr="00641C01">
              <w:rPr>
                <w:rFonts w:asciiTheme="minorHAnsi" w:hAnsiTheme="minorHAnsi" w:cstheme="minorHAnsi"/>
                <w:sz w:val="18"/>
                <w:szCs w:val="18"/>
              </w:rPr>
              <w:t>564,73</w:t>
            </w:r>
            <w:r w:rsidR="00641C01">
              <w:rPr>
                <w:rFonts w:asciiTheme="minorHAnsi" w:hAnsiTheme="minorHAnsi" w:cstheme="minorHAnsi"/>
                <w:sz w:val="18"/>
                <w:szCs w:val="18"/>
              </w:rPr>
              <w:t xml:space="preserve"> Kč (96,3 %)</w:t>
            </w:r>
          </w:p>
          <w:p w:rsidR="00834C8A" w:rsidRPr="00E4455A" w:rsidRDefault="00834C8A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34C8A" w:rsidTr="006415AE">
        <w:tc>
          <w:tcPr>
            <w:tcW w:w="2194" w:type="dxa"/>
          </w:tcPr>
          <w:p w:rsidR="00834C8A" w:rsidRPr="00E4455A" w:rsidRDefault="00834C8A" w:rsidP="00070BDB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Nezpůsobilé výdaje projektu</w:t>
            </w:r>
            <w:r w:rsidRPr="00E4455A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(v Kč i %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70BDB">
              <w:rPr>
                <w:rFonts w:asciiTheme="minorHAnsi" w:hAnsiTheme="minorHAnsi" w:cstheme="minorHAnsi"/>
                <w:sz w:val="18"/>
                <w:szCs w:val="18"/>
              </w:rPr>
              <w:t>z celkových výdajů proje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k</w:t>
            </w:r>
            <w:r w:rsidRPr="00070BDB">
              <w:rPr>
                <w:rFonts w:asciiTheme="minorHAnsi" w:hAnsiTheme="minorHAnsi" w:cstheme="minorHAnsi"/>
                <w:sz w:val="18"/>
                <w:szCs w:val="18"/>
              </w:rPr>
              <w:t>tu, tj. způsobilých i nezpůsobilých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bráno z rozpočtu bez ponížení</w:t>
            </w: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):</w:t>
            </w:r>
          </w:p>
        </w:tc>
        <w:tc>
          <w:tcPr>
            <w:tcW w:w="7412" w:type="dxa"/>
            <w:gridSpan w:val="5"/>
          </w:tcPr>
          <w:p w:rsidR="00834C8A" w:rsidRPr="00E4455A" w:rsidRDefault="00BE5067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133 845 359,59 Kč (14,92 %)</w:t>
            </w:r>
          </w:p>
        </w:tc>
      </w:tr>
      <w:tr w:rsidR="00834C8A" w:rsidTr="006415AE">
        <w:tc>
          <w:tcPr>
            <w:tcW w:w="2194" w:type="dxa"/>
          </w:tcPr>
          <w:p w:rsidR="00834C8A" w:rsidRPr="00E4455A" w:rsidRDefault="00834C8A" w:rsidP="00D03FD2">
            <w:pPr>
              <w:spacing w:before="60"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Ostatní informace</w:t>
            </w:r>
          </w:p>
          <w:p w:rsidR="00834C8A" w:rsidRPr="0060312A" w:rsidRDefault="00834C8A" w:rsidP="00D03FD2">
            <w:pPr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0312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(signalizovaná rizika, fázování apod.)</w:t>
            </w:r>
          </w:p>
        </w:tc>
        <w:tc>
          <w:tcPr>
            <w:tcW w:w="7412" w:type="dxa"/>
            <w:gridSpan w:val="5"/>
          </w:tcPr>
          <w:p w:rsidR="00834C8A" w:rsidRPr="00E4455A" w:rsidRDefault="00834C8A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34C8A" w:rsidTr="006415AE">
        <w:tc>
          <w:tcPr>
            <w:tcW w:w="9606" w:type="dxa"/>
            <w:gridSpan w:val="6"/>
            <w:shd w:val="clear" w:color="auto" w:fill="404040" w:themeFill="text1" w:themeFillTint="BF"/>
          </w:tcPr>
          <w:p w:rsidR="00834C8A" w:rsidRPr="003D1E91" w:rsidRDefault="00834C8A" w:rsidP="00A431A3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lastRenderedPageBreak/>
              <w:t>Udržitelnost projektu</w:t>
            </w:r>
          </w:p>
        </w:tc>
      </w:tr>
      <w:tr w:rsidR="006415AE" w:rsidTr="006415AE">
        <w:tc>
          <w:tcPr>
            <w:tcW w:w="2194" w:type="dxa"/>
          </w:tcPr>
          <w:p w:rsidR="006415AE" w:rsidRDefault="006415AE" w:rsidP="007A7C2F">
            <w:pPr>
              <w:spacing w:after="0" w:line="240" w:lineRule="atLeast"/>
              <w:rPr>
                <w:rFonts w:ascii="Arial" w:hAnsi="Arial" w:cs="Arial"/>
                <w:b/>
                <w:sz w:val="20"/>
              </w:rPr>
            </w:pPr>
            <w:bookmarkStart w:id="0" w:name="_GoBack" w:colFirst="0" w:colLast="1"/>
            <w:r>
              <w:rPr>
                <w:rFonts w:ascii="Arial" w:hAnsi="Arial" w:cs="Arial"/>
                <w:b/>
                <w:sz w:val="20"/>
              </w:rPr>
              <w:t xml:space="preserve">Zdroje pro úhradu provozních nákladů </w:t>
            </w:r>
          </w:p>
        </w:tc>
        <w:tc>
          <w:tcPr>
            <w:tcW w:w="7412" w:type="dxa"/>
            <w:gridSpan w:val="5"/>
          </w:tcPr>
          <w:p w:rsidR="007F0E46" w:rsidRDefault="006415AE" w:rsidP="007A7C2F">
            <w:pPr>
              <w:spacing w:after="0" w:line="240" w:lineRule="atLeast"/>
            </w:pPr>
            <w:r w:rsidRPr="006415AE">
              <w:rPr>
                <w:sz w:val="18"/>
              </w:rPr>
              <w:t>Objem realizovaného smluvního výzkumu od zahájení projektu OP VaVpI do ukončení jeho realizace v roce 2013 se vyšplhal na hodnotu 63 mil. Kč</w:t>
            </w:r>
            <w:r w:rsidR="007F0E46">
              <w:rPr>
                <w:sz w:val="18"/>
              </w:rPr>
              <w:t xml:space="preserve">. </w:t>
            </w:r>
            <w:r w:rsidR="007F0E46" w:rsidRPr="00A10978">
              <w:rPr>
                <w:sz w:val="18"/>
              </w:rPr>
              <w:t>NETME Centre se mimořádně daří v oblasti spolupráce s aplikační sférou. Jenom za rok 2014 získalo Centrum příjmy ze smluvního výzkumu v objemu, který tvořil podíl více než 24 % z celkových získaných zdrojů.</w:t>
            </w:r>
            <w:r w:rsidR="007F0E46">
              <w:rPr>
                <w:sz w:val="18"/>
              </w:rPr>
              <w:t xml:space="preserve">V rámci udržitelnosti projektu se počítá se smluvním výzkumem cca 25 </w:t>
            </w:r>
            <w:r w:rsidRPr="006415AE">
              <w:rPr>
                <w:sz w:val="18"/>
              </w:rPr>
              <w:t>mil. Kč ročně</w:t>
            </w:r>
            <w:r>
              <w:t xml:space="preserve">. </w:t>
            </w:r>
          </w:p>
          <w:p w:rsidR="007F0E46" w:rsidRPr="007A7C2F" w:rsidRDefault="007F0E46" w:rsidP="007A7C2F">
            <w:pPr>
              <w:spacing w:after="0" w:line="240" w:lineRule="atLeast"/>
              <w:rPr>
                <w:sz w:val="18"/>
              </w:rPr>
            </w:pPr>
            <w:r w:rsidRPr="00A10978">
              <w:rPr>
                <w:sz w:val="18"/>
              </w:rPr>
              <w:t>V současné době jsou řešeny např. projekty MPO v objemu 2,4 mil. Kč a projekty TA ČR v celkovém objemu 14 mil. Kč. Jenom na projektech TAČR se podílí 32 angažovaných týmů a byla vytvořená dvě cenra kompetence. Centrum je také řešitelem velké řady projektů smluvního výzkumu pro malé, střední i velké podniky.</w:t>
            </w:r>
          </w:p>
          <w:p w:rsidR="006415AE" w:rsidRPr="006415AE" w:rsidRDefault="007F0E46" w:rsidP="007A7C2F">
            <w:pPr>
              <w:spacing w:after="0" w:line="240" w:lineRule="atLeast"/>
            </w:pPr>
            <w:r w:rsidRPr="006415AE">
              <w:rPr>
                <w:sz w:val="18"/>
              </w:rPr>
              <w:t>Mezinárodní granty a jejich zajištění - Předpoklad asi 7 % z celkových nákladů - především participace na proj</w:t>
            </w:r>
            <w:r>
              <w:rPr>
                <w:sz w:val="18"/>
              </w:rPr>
              <w:t xml:space="preserve">ektech FP7 a H2020. </w:t>
            </w:r>
            <w:r w:rsidRPr="006415AE">
              <w:rPr>
                <w:sz w:val="18"/>
              </w:rPr>
              <w:t>Ostatní zdroje financování: Doplňkově budou využívány i další zdroje financování, např. příjmy z licencí apod. Podíl těchto zdrojů na celkovém objemu prostředků financování je odhadován do 3 %.</w:t>
            </w:r>
            <w:r w:rsidR="006415AE">
              <w:tab/>
            </w:r>
            <w:r w:rsidR="006415AE">
              <w:tab/>
            </w:r>
          </w:p>
        </w:tc>
      </w:tr>
      <w:tr w:rsidR="006415AE" w:rsidTr="006415AE">
        <w:tc>
          <w:tcPr>
            <w:tcW w:w="2194" w:type="dxa"/>
          </w:tcPr>
          <w:p w:rsidR="006415AE" w:rsidRDefault="006415AE" w:rsidP="007A7C2F">
            <w:pPr>
              <w:spacing w:after="0" w:line="240" w:lineRule="atLeas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Požadavky na podporu z NPU (po dobu udržitelnosti)</w:t>
            </w:r>
          </w:p>
        </w:tc>
        <w:tc>
          <w:tcPr>
            <w:tcW w:w="7412" w:type="dxa"/>
            <w:gridSpan w:val="5"/>
          </w:tcPr>
          <w:p w:rsidR="006415AE" w:rsidRPr="006415AE" w:rsidRDefault="007F0E46" w:rsidP="007A7C2F">
            <w:pPr>
              <w:spacing w:after="0" w:line="240" w:lineRule="atLeast"/>
              <w:rPr>
                <w:sz w:val="18"/>
              </w:rPr>
            </w:pPr>
            <w:r w:rsidRPr="00A10978">
              <w:rPr>
                <w:sz w:val="18"/>
              </w:rPr>
              <w:t>Projekt je nyní financován programem NPÚ I ve výši uznatelných nákladů 606 mil. Kč (podíl státního rozpočtu 277 mil. Kč a kofincování 329 mil. Kč).</w:t>
            </w:r>
            <w:r w:rsidR="006415AE" w:rsidRPr="006415AE">
              <w:rPr>
                <w:sz w:val="18"/>
              </w:rPr>
              <w:tab/>
            </w:r>
            <w:r w:rsidR="006415AE" w:rsidRPr="006415AE">
              <w:rPr>
                <w:sz w:val="18"/>
              </w:rPr>
              <w:tab/>
            </w:r>
            <w:r w:rsidR="006415AE" w:rsidRPr="006415AE">
              <w:rPr>
                <w:sz w:val="18"/>
              </w:rPr>
              <w:tab/>
            </w:r>
          </w:p>
          <w:p w:rsidR="006415AE" w:rsidRDefault="007F0E46" w:rsidP="007A7C2F">
            <w:pPr>
              <w:spacing w:after="0" w:line="240" w:lineRule="atLeast"/>
            </w:pPr>
            <w:r w:rsidRPr="006415AE">
              <w:rPr>
                <w:sz w:val="18"/>
              </w:rPr>
              <w:t>Požadavky na účelové zdroje - tvoří zhruba 5</w:t>
            </w:r>
            <w:r>
              <w:rPr>
                <w:sz w:val="18"/>
              </w:rPr>
              <w:t xml:space="preserve">5 % z celkových nákladů, </w:t>
            </w:r>
            <w:r w:rsidRPr="006415AE">
              <w:rPr>
                <w:sz w:val="18"/>
              </w:rPr>
              <w:t xml:space="preserve">3/4 z </w:t>
            </w:r>
            <w:r>
              <w:rPr>
                <w:sz w:val="18"/>
              </w:rPr>
              <w:t xml:space="preserve">těchto zdrojů tvoří NPÚ. </w:t>
            </w:r>
            <w:r w:rsidRPr="006415AE">
              <w:rPr>
                <w:sz w:val="18"/>
              </w:rPr>
              <w:t>Institucionální podpora - 15 % z celkových nákladů</w:t>
            </w:r>
            <w:r>
              <w:rPr>
                <w:sz w:val="18"/>
              </w:rPr>
              <w:t>.</w:t>
            </w:r>
            <w:r>
              <w:rPr>
                <w:sz w:val="18"/>
              </w:rPr>
              <w:tab/>
            </w:r>
            <w:r w:rsidR="006415AE">
              <w:tab/>
            </w:r>
            <w:r w:rsidR="006415AE">
              <w:tab/>
            </w:r>
            <w:r w:rsidR="006415AE">
              <w:tab/>
            </w:r>
            <w:r w:rsidR="006415AE">
              <w:tab/>
            </w:r>
            <w:r w:rsidR="006415AE">
              <w:tab/>
            </w:r>
            <w:r w:rsidR="006415AE">
              <w:tab/>
            </w:r>
          </w:p>
        </w:tc>
      </w:tr>
      <w:tr w:rsidR="006415AE" w:rsidTr="006415AE">
        <w:tc>
          <w:tcPr>
            <w:tcW w:w="2194" w:type="dxa"/>
          </w:tcPr>
          <w:p w:rsidR="006415AE" w:rsidRDefault="006415AE" w:rsidP="007A7C2F">
            <w:pPr>
              <w:spacing w:after="0" w:line="240" w:lineRule="atLeas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Monitorovací indikátory v období udržitelnosti</w:t>
            </w:r>
          </w:p>
        </w:tc>
        <w:tc>
          <w:tcPr>
            <w:tcW w:w="7412" w:type="dxa"/>
            <w:gridSpan w:val="5"/>
          </w:tcPr>
          <w:p w:rsidR="007F0E46" w:rsidRDefault="007F0E46" w:rsidP="007A7C2F">
            <w:pPr>
              <w:spacing w:after="0" w:line="240" w:lineRule="atLeast"/>
              <w:rPr>
                <w:sz w:val="18"/>
              </w:rPr>
            </w:pPr>
            <w:r>
              <w:rPr>
                <w:sz w:val="18"/>
              </w:rPr>
              <w:t xml:space="preserve">Centrum </w:t>
            </w:r>
            <w:r w:rsidRPr="00A10978">
              <w:rPr>
                <w:sz w:val="18"/>
              </w:rPr>
              <w:t>NET</w:t>
            </w:r>
            <w:r>
              <w:rPr>
                <w:sz w:val="18"/>
              </w:rPr>
              <w:t>ME má 220 zaměstnanců (115 FTE).</w:t>
            </w:r>
            <w:r w:rsidRPr="006415AE">
              <w:rPr>
                <w:sz w:val="18"/>
              </w:rPr>
              <w:t xml:space="preserve"> </w:t>
            </w:r>
            <w:r w:rsidRPr="006415AE">
              <w:rPr>
                <w:sz w:val="18"/>
              </w:rPr>
              <w:t>Současný počet výzkumníků:  91,32 FTE (k 31.12.2014) (plán 73)</w:t>
            </w:r>
            <w:r>
              <w:rPr>
                <w:sz w:val="18"/>
              </w:rPr>
              <w:t xml:space="preserve">, Senior researchers - 34 %, Junior researchers - 38 %, Ph.D. studenti - 14 %, </w:t>
            </w:r>
            <w:r w:rsidRPr="006415AE">
              <w:rPr>
                <w:sz w:val="18"/>
              </w:rPr>
              <w:t>podpůrný personál - 14 %</w:t>
            </w:r>
            <w:r>
              <w:rPr>
                <w:sz w:val="18"/>
              </w:rPr>
              <w:t>.</w:t>
            </w:r>
          </w:p>
          <w:p w:rsidR="006415AE" w:rsidRPr="007F0E46" w:rsidRDefault="007F0E46" w:rsidP="007A7C2F">
            <w:pPr>
              <w:spacing w:after="0" w:line="240" w:lineRule="atLeast"/>
              <w:rPr>
                <w:sz w:val="18"/>
              </w:rPr>
            </w:pPr>
            <w:r w:rsidRPr="006415AE">
              <w:rPr>
                <w:sz w:val="18"/>
              </w:rPr>
              <w:t>V současnosti je v projektu zapojeno 12 zahraničních výzkumníků (v zaměstnaneckém nebo obdobném poměru). Centrum však v rámci svých mezinárodních aktivit a podpory mobility spolupracuje s dalšími zahraničními výzkumníky, kteří se podílí na společných výzkumných úkolech, zúčastňují se odborných stáží v Centru, resp. jsou jinak aktivně zapojení do VaV činností v Centru.</w:t>
            </w:r>
          </w:p>
        </w:tc>
      </w:tr>
      <w:tr w:rsidR="006415AE" w:rsidTr="006415AE">
        <w:tc>
          <w:tcPr>
            <w:tcW w:w="2194" w:type="dxa"/>
          </w:tcPr>
          <w:p w:rsidR="006415AE" w:rsidRDefault="006415AE" w:rsidP="007A7C2F">
            <w:pPr>
              <w:spacing w:after="0" w:line="240" w:lineRule="atLeas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Hodnocení výzkumného centra</w:t>
            </w:r>
          </w:p>
        </w:tc>
        <w:tc>
          <w:tcPr>
            <w:tcW w:w="7412" w:type="dxa"/>
            <w:gridSpan w:val="5"/>
          </w:tcPr>
          <w:p w:rsidR="00A10978" w:rsidRPr="00A10978" w:rsidRDefault="00A10978" w:rsidP="007A7C2F">
            <w:pPr>
              <w:spacing w:after="0" w:line="240" w:lineRule="atLeast"/>
              <w:rPr>
                <w:sz w:val="18"/>
              </w:rPr>
            </w:pPr>
            <w:r w:rsidRPr="00A10978">
              <w:rPr>
                <w:sz w:val="18"/>
              </w:rPr>
              <w:t xml:space="preserve">Komplex NETME je lokalizován v kampusu VUT Brno a představuje 3 objekty, C3, D5 a D5new. Jako hlavní stavební investice je budova D5new. Zde jsou umístěny laboratoře, které nebylo možné v žádných prostorech strojní fakulty realizovat, dále pak prostory pro vedení projektu, pracovny doktorandů, vědeckých pracovníků, konferenční místnosti, technické zázemí apod. Další budovou Centra je pracoviště C3a, tzv. pádová zkušebna.  </w:t>
            </w:r>
          </w:p>
          <w:p w:rsidR="00A10978" w:rsidRPr="00A10978" w:rsidRDefault="00A10978" w:rsidP="007A7C2F">
            <w:pPr>
              <w:spacing w:after="0" w:line="240" w:lineRule="atLeast"/>
              <w:rPr>
                <w:sz w:val="18"/>
              </w:rPr>
            </w:pPr>
            <w:r w:rsidRPr="00A10978">
              <w:rPr>
                <w:sz w:val="18"/>
              </w:rPr>
              <w:t xml:space="preserve">Objekt D5 byl pořízen za 219,3 mil. Kč, C3a za 46,7 mil. Kč a rekonstrukce za 33 mil. Kč. </w:t>
            </w:r>
          </w:p>
          <w:p w:rsidR="00A10978" w:rsidRPr="00A10978" w:rsidRDefault="00A10978" w:rsidP="007A7C2F">
            <w:pPr>
              <w:spacing w:after="0" w:line="240" w:lineRule="atLeast"/>
              <w:rPr>
                <w:sz w:val="18"/>
              </w:rPr>
            </w:pPr>
            <w:r w:rsidRPr="00A10978">
              <w:rPr>
                <w:sz w:val="18"/>
              </w:rPr>
              <w:t>Výstavba budovy C3a a rekonstrukce byla ukončena v roce 2011, budova D5 v roce 2012.</w:t>
            </w:r>
          </w:p>
          <w:p w:rsidR="006415AE" w:rsidRPr="005B6C3A" w:rsidRDefault="00A10978" w:rsidP="007A7C2F">
            <w:pPr>
              <w:spacing w:after="0" w:line="240" w:lineRule="atLeast"/>
              <w:rPr>
                <w:sz w:val="18"/>
              </w:rPr>
            </w:pPr>
            <w:r w:rsidRPr="00A10978">
              <w:rPr>
                <w:sz w:val="18"/>
              </w:rPr>
              <w:t xml:space="preserve">Projekt NETME Centre je zaměřen na progresivní technologie z oblasti strojního inženýrství s přesahy do souvisejících oborů: procesní inženýrství, environmentální technologie, energetika, mechatronické soustavy, pokročilé materiály, virtuální navrhování a zkušebnictví. Příjemcem dotace je strojní fakulta VUT. </w:t>
            </w:r>
          </w:p>
        </w:tc>
      </w:tr>
      <w:tr w:rsidR="006415AE" w:rsidTr="006415AE">
        <w:tc>
          <w:tcPr>
            <w:tcW w:w="2194" w:type="dxa"/>
          </w:tcPr>
          <w:p w:rsidR="006415AE" w:rsidRDefault="006415AE" w:rsidP="007A7C2F">
            <w:pPr>
              <w:spacing w:after="0" w:line="240" w:lineRule="atLeas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Poznatky z návštěvy týmu zmocněnce pro udržitelnost</w:t>
            </w:r>
          </w:p>
        </w:tc>
        <w:tc>
          <w:tcPr>
            <w:tcW w:w="7412" w:type="dxa"/>
            <w:gridSpan w:val="5"/>
          </w:tcPr>
          <w:p w:rsidR="007A7C2F" w:rsidRPr="00A10978" w:rsidRDefault="00A10978" w:rsidP="007A7C2F">
            <w:pPr>
              <w:spacing w:after="0" w:line="240" w:lineRule="atLeast"/>
              <w:rPr>
                <w:sz w:val="18"/>
              </w:rPr>
            </w:pPr>
            <w:r w:rsidRPr="00A10978">
              <w:rPr>
                <w:sz w:val="18"/>
              </w:rPr>
              <w:t>NETME Centre</w:t>
            </w:r>
            <w:r w:rsidR="007A7C2F">
              <w:rPr>
                <w:sz w:val="18"/>
              </w:rPr>
              <w:t xml:space="preserve"> spolupracuje </w:t>
            </w:r>
            <w:r w:rsidR="007A7C2F" w:rsidRPr="00A10978">
              <w:rPr>
                <w:sz w:val="18"/>
              </w:rPr>
              <w:t>přibližně se stovkou průmyslových partnerů. Mezi nejvýznamnější partnery patří  ČEZ a.s., Škoda AUTO a.s., Aircraft Industries, Jihlavan Aeroplanes, Honeywell s.r.o., TATRA, První brněnská strojírna Velká Bíteš, a.</w:t>
            </w:r>
            <w:r w:rsidR="007A7C2F">
              <w:rPr>
                <w:sz w:val="18"/>
              </w:rPr>
              <w:t>s., VUCHZ a.s. a mnoho dalších.</w:t>
            </w:r>
          </w:p>
          <w:p w:rsidR="00A10978" w:rsidRPr="00A10978" w:rsidRDefault="00A10978" w:rsidP="007A7C2F">
            <w:pPr>
              <w:spacing w:after="0" w:line="240" w:lineRule="atLeast"/>
              <w:rPr>
                <w:sz w:val="18"/>
              </w:rPr>
            </w:pPr>
            <w:r w:rsidRPr="00A10978">
              <w:rPr>
                <w:sz w:val="18"/>
              </w:rPr>
              <w:t>Formou mezinárodních projektů je Centrum zapojeno do spolupráce s významnými zahraničními průmyslovými partnery i výzkumnými institucemi. Mezi nejvýznamnější projekty, do kterých je příjemce v současnosti zapojen patří bezpochyby projekty CEDESA, ESPOSA a KhAI-ERA financované z prostředků 7. rámcového programu. Z programu EUREKA byl podpořen projekt "Rekuperační hydrostatický modul pro užitková vozidla" a z programu KONTAKT II projekt "Výzkum a charakteristika materiálů s možnostmi akumulace tepla v kontejnmentech lehkovodních jaderných reaktorů při efektivním snižování vnitřního tlaku během havárií".  Rovněž je Centrum zapojeno do PPP projektu "DCC+G (Direct Current Components and Grid)" po</w:t>
            </w:r>
            <w:r>
              <w:rPr>
                <w:sz w:val="18"/>
              </w:rPr>
              <w:t xml:space="preserve">dpořeného z programu ENIAC JU. </w:t>
            </w:r>
          </w:p>
          <w:p w:rsidR="006415AE" w:rsidRDefault="00A10978" w:rsidP="007A7C2F">
            <w:pPr>
              <w:spacing w:after="0" w:line="240" w:lineRule="atLeast"/>
              <w:rPr>
                <w:sz w:val="18"/>
              </w:rPr>
            </w:pPr>
            <w:r w:rsidRPr="00A10978">
              <w:rPr>
                <w:sz w:val="18"/>
              </w:rPr>
              <w:t>V oblasti spolupráce se zahraničními průmyslovými partnery Centrum aktivné spolupracuje s takovými významnými partnery jako je Voestalpine Stahl, Volkswagen AG, AMAG Rolling, Andritz Selas nebo ArcelorMittal.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 w:rsidR="006415AE" w:rsidRPr="006415AE">
              <w:rPr>
                <w:sz w:val="18"/>
              </w:rPr>
              <w:tab/>
            </w:r>
          </w:p>
        </w:tc>
      </w:tr>
      <w:tr w:rsidR="006415AE" w:rsidTr="006415AE">
        <w:tc>
          <w:tcPr>
            <w:tcW w:w="2194" w:type="dxa"/>
          </w:tcPr>
          <w:p w:rsidR="006415AE" w:rsidRDefault="006415AE" w:rsidP="007A7C2F">
            <w:pPr>
              <w:spacing w:after="0" w:line="240" w:lineRule="atLeas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Zařazení projektu do </w:t>
            </w:r>
            <w:r>
              <w:rPr>
                <w:rFonts w:ascii="Arial" w:hAnsi="Arial" w:cs="Arial"/>
                <w:b/>
                <w:sz w:val="20"/>
              </w:rPr>
              <w:lastRenderedPageBreak/>
              <w:t>rizikové skupiny z hlediska udržitelnosti</w:t>
            </w:r>
          </w:p>
        </w:tc>
        <w:tc>
          <w:tcPr>
            <w:tcW w:w="7412" w:type="dxa"/>
            <w:gridSpan w:val="5"/>
          </w:tcPr>
          <w:p w:rsidR="006415AE" w:rsidRDefault="007A7C2F" w:rsidP="007A7C2F">
            <w:pPr>
              <w:spacing w:after="0" w:line="240" w:lineRule="atLeast"/>
              <w:rPr>
                <w:sz w:val="18"/>
              </w:rPr>
            </w:pPr>
            <w:r>
              <w:rPr>
                <w:sz w:val="18"/>
              </w:rPr>
              <w:lastRenderedPageBreak/>
              <w:t>A</w:t>
            </w:r>
          </w:p>
        </w:tc>
      </w:tr>
      <w:tr w:rsidR="006415AE" w:rsidTr="006415AE">
        <w:tc>
          <w:tcPr>
            <w:tcW w:w="2194" w:type="dxa"/>
          </w:tcPr>
          <w:p w:rsidR="006415AE" w:rsidRDefault="006415AE" w:rsidP="007A7C2F">
            <w:pPr>
              <w:spacing w:after="0" w:line="240" w:lineRule="atLeas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Poznámka</w:t>
            </w:r>
          </w:p>
        </w:tc>
        <w:tc>
          <w:tcPr>
            <w:tcW w:w="7412" w:type="dxa"/>
            <w:gridSpan w:val="5"/>
          </w:tcPr>
          <w:p w:rsidR="006415AE" w:rsidRDefault="006415AE" w:rsidP="007A7C2F">
            <w:pPr>
              <w:spacing w:after="0" w:line="240" w:lineRule="atLeast"/>
              <w:rPr>
                <w:sz w:val="18"/>
              </w:rPr>
            </w:pPr>
          </w:p>
        </w:tc>
      </w:tr>
      <w:bookmarkEnd w:id="0"/>
    </w:tbl>
    <w:p w:rsidR="00A7545D" w:rsidRDefault="00A7545D"/>
    <w:sectPr w:rsidR="00A7545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AF5" w:rsidRDefault="00243AF5" w:rsidP="00353AEB">
      <w:pPr>
        <w:spacing w:after="0" w:line="240" w:lineRule="auto"/>
      </w:pPr>
      <w:r>
        <w:separator/>
      </w:r>
    </w:p>
  </w:endnote>
  <w:endnote w:type="continuationSeparator" w:id="0">
    <w:p w:rsidR="00243AF5" w:rsidRDefault="00243AF5" w:rsidP="00353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640959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353AEB" w:rsidRPr="000C71C7" w:rsidRDefault="00353AEB">
        <w:pPr>
          <w:pStyle w:val="Zpat"/>
          <w:rPr>
            <w:sz w:val="18"/>
            <w:szCs w:val="18"/>
          </w:rPr>
        </w:pPr>
        <w:r w:rsidRPr="000C71C7">
          <w:rPr>
            <w:rFonts w:asciiTheme="majorHAnsi" w:eastAsiaTheme="majorEastAsia" w:hAnsiTheme="majorHAnsi" w:cstheme="majorBidi"/>
            <w:noProof/>
            <w:sz w:val="18"/>
            <w:szCs w:val="18"/>
            <w:lang w:val="cs-CZ"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DBD9E46" wp14:editId="5E6DB39A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522" name="Automatický obrazec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3AEB" w:rsidRPr="00353AEB" w:rsidRDefault="00353AEB">
                              <w:pPr>
                                <w:pStyle w:val="Zpat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18"/>
                                  <w:szCs w:val="28"/>
                                </w:rPr>
                              </w:pPr>
                              <w:r w:rsidRPr="00353AEB">
                                <w:rPr>
                                  <w:sz w:val="18"/>
                                  <w:szCs w:val="21"/>
                                </w:rPr>
                                <w:fldChar w:fldCharType="begin"/>
                              </w:r>
                              <w:r w:rsidRPr="00353AEB">
                                <w:rPr>
                                  <w:sz w:val="18"/>
                                </w:rPr>
                                <w:instrText>PAGE    \* MERGEFORMAT</w:instrText>
                              </w:r>
                              <w:r w:rsidRPr="00353AEB">
                                <w:rPr>
                                  <w:sz w:val="18"/>
                                  <w:szCs w:val="21"/>
                                </w:rPr>
                                <w:fldChar w:fldCharType="separate"/>
                              </w:r>
                              <w:r w:rsidR="007A7C2F" w:rsidRPr="007A7C2F">
                                <w:rPr>
                                  <w:noProof/>
                                  <w:sz w:val="18"/>
                                  <w:szCs w:val="28"/>
                                  <w:lang w:val="cs-CZ"/>
                                </w:rPr>
                                <w:t>3</w:t>
                              </w:r>
                              <w:r w:rsidRPr="00353AEB">
                                <w:rPr>
                                  <w:sz w:val="1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matický obrazec 13" o:spid="_x0000_s1027" type="#_x0000_t176" style="position:absolute;left:0;text-align:left;margin-left:0;margin-top:0;width:40.35pt;height:34.7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" filled="f" fillcolor="#5c83b4" stroked="f" strokecolor="#737373">
                  <v:textbox>
                    <w:txbxContent>
                      <w:p w:rsidR="00353AEB" w:rsidRPr="00353AEB" w:rsidRDefault="00353AEB">
                        <w:pPr>
                          <w:pStyle w:val="Zpat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18"/>
                            <w:szCs w:val="28"/>
                          </w:rPr>
                        </w:pPr>
                        <w:r w:rsidRPr="00353AEB">
                          <w:rPr>
                            <w:sz w:val="18"/>
                            <w:szCs w:val="21"/>
                          </w:rPr>
                          <w:fldChar w:fldCharType="begin"/>
                        </w:r>
                        <w:r w:rsidRPr="00353AEB">
                          <w:rPr>
                            <w:sz w:val="18"/>
                          </w:rPr>
                          <w:instrText>PAGE    \* MERGEFORMAT</w:instrText>
                        </w:r>
                        <w:r w:rsidRPr="00353AEB">
                          <w:rPr>
                            <w:sz w:val="18"/>
                            <w:szCs w:val="21"/>
                          </w:rPr>
                          <w:fldChar w:fldCharType="separate"/>
                        </w:r>
                        <w:r w:rsidR="007A7C2F" w:rsidRPr="007A7C2F">
                          <w:rPr>
                            <w:noProof/>
                            <w:sz w:val="18"/>
                            <w:szCs w:val="28"/>
                            <w:lang w:val="cs-CZ"/>
                          </w:rPr>
                          <w:t>3</w:t>
                        </w:r>
                        <w:r w:rsidRPr="00353AEB">
                          <w:rPr>
                            <w:sz w:val="1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="000C71C7" w:rsidRPr="000C71C7">
          <w:rPr>
            <w:sz w:val="18"/>
            <w:szCs w:val="18"/>
            <w:lang w:val="cs-CZ"/>
          </w:rPr>
          <w:t>verze 1.1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AF5" w:rsidRDefault="00243AF5" w:rsidP="00353AEB">
      <w:pPr>
        <w:spacing w:after="0" w:line="240" w:lineRule="auto"/>
      </w:pPr>
      <w:r>
        <w:separator/>
      </w:r>
    </w:p>
  </w:footnote>
  <w:footnote w:type="continuationSeparator" w:id="0">
    <w:p w:rsidR="00243AF5" w:rsidRDefault="00243AF5" w:rsidP="00353A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9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6"/>
  </w:num>
  <w:num w:numId="5">
    <w:abstractNumId w:val="6"/>
  </w:num>
  <w:num w:numId="6">
    <w:abstractNumId w:val="0"/>
  </w:num>
  <w:num w:numId="7">
    <w:abstractNumId w:val="8"/>
  </w:num>
  <w:num w:numId="8">
    <w:abstractNumId w:val="9"/>
  </w:num>
  <w:num w:numId="9">
    <w:abstractNumId w:val="2"/>
  </w:num>
  <w:num w:numId="10">
    <w:abstractNumId w:val="10"/>
  </w:num>
  <w:num w:numId="11">
    <w:abstractNumId w:val="7"/>
  </w:num>
  <w:num w:numId="12">
    <w:abstractNumId w:val="4"/>
  </w:num>
  <w:num w:numId="13">
    <w:abstractNumId w:val="3"/>
  </w:num>
  <w:num w:numId="14">
    <w:abstractNumId w:val="6"/>
  </w:num>
  <w:num w:numId="15">
    <w:abstractNumId w:val="1"/>
  </w:num>
  <w:num w:numId="16">
    <w:abstractNumId w:val="6"/>
  </w:num>
  <w:num w:numId="17">
    <w:abstractNumId w:val="6"/>
  </w:num>
  <w:num w:numId="18">
    <w:abstractNumId w:val="11"/>
  </w:num>
  <w:num w:numId="19">
    <w:abstractNumId w:val="0"/>
  </w:num>
  <w:num w:numId="20">
    <w:abstractNumId w:val="8"/>
  </w:num>
  <w:num w:numId="21">
    <w:abstractNumId w:val="9"/>
  </w:num>
  <w:num w:numId="22">
    <w:abstractNumId w:val="2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C5"/>
    <w:rsid w:val="0000024D"/>
    <w:rsid w:val="00002DBE"/>
    <w:rsid w:val="00041A9E"/>
    <w:rsid w:val="0004245B"/>
    <w:rsid w:val="0005178F"/>
    <w:rsid w:val="00057297"/>
    <w:rsid w:val="00070BDB"/>
    <w:rsid w:val="00071F64"/>
    <w:rsid w:val="000A69DE"/>
    <w:rsid w:val="000B7BB7"/>
    <w:rsid w:val="000C71C7"/>
    <w:rsid w:val="000F0945"/>
    <w:rsid w:val="0010270A"/>
    <w:rsid w:val="001057A4"/>
    <w:rsid w:val="00125F00"/>
    <w:rsid w:val="001570E3"/>
    <w:rsid w:val="00171F50"/>
    <w:rsid w:val="0018459D"/>
    <w:rsid w:val="001845D5"/>
    <w:rsid w:val="001B09DB"/>
    <w:rsid w:val="001B2134"/>
    <w:rsid w:val="00235AE1"/>
    <w:rsid w:val="00243AF5"/>
    <w:rsid w:val="002A102B"/>
    <w:rsid w:val="002B4A3E"/>
    <w:rsid w:val="002C69A4"/>
    <w:rsid w:val="00353AEB"/>
    <w:rsid w:val="003D1E91"/>
    <w:rsid w:val="00411CFE"/>
    <w:rsid w:val="00413C71"/>
    <w:rsid w:val="00431B1E"/>
    <w:rsid w:val="004C4832"/>
    <w:rsid w:val="004D6F6B"/>
    <w:rsid w:val="00500997"/>
    <w:rsid w:val="0052281E"/>
    <w:rsid w:val="00526313"/>
    <w:rsid w:val="00595603"/>
    <w:rsid w:val="005D613D"/>
    <w:rsid w:val="005F27AE"/>
    <w:rsid w:val="0060312A"/>
    <w:rsid w:val="006415AE"/>
    <w:rsid w:val="00641C01"/>
    <w:rsid w:val="00686EA8"/>
    <w:rsid w:val="007011BD"/>
    <w:rsid w:val="00737A93"/>
    <w:rsid w:val="00742563"/>
    <w:rsid w:val="00774A9C"/>
    <w:rsid w:val="007A62D7"/>
    <w:rsid w:val="007A7C2F"/>
    <w:rsid w:val="007B2E97"/>
    <w:rsid w:val="007F0E46"/>
    <w:rsid w:val="0081225A"/>
    <w:rsid w:val="0081392A"/>
    <w:rsid w:val="008145AE"/>
    <w:rsid w:val="008146D9"/>
    <w:rsid w:val="00834C8A"/>
    <w:rsid w:val="008353DD"/>
    <w:rsid w:val="008C2B2A"/>
    <w:rsid w:val="008F7D43"/>
    <w:rsid w:val="00924BF2"/>
    <w:rsid w:val="009360DE"/>
    <w:rsid w:val="009372B3"/>
    <w:rsid w:val="009C4FF3"/>
    <w:rsid w:val="009E3D58"/>
    <w:rsid w:val="009E437E"/>
    <w:rsid w:val="00A0019C"/>
    <w:rsid w:val="00A10978"/>
    <w:rsid w:val="00A13C65"/>
    <w:rsid w:val="00A431A3"/>
    <w:rsid w:val="00A74241"/>
    <w:rsid w:val="00A7545D"/>
    <w:rsid w:val="00A81A2F"/>
    <w:rsid w:val="00AA442B"/>
    <w:rsid w:val="00AD65D3"/>
    <w:rsid w:val="00AE72C5"/>
    <w:rsid w:val="00AF6EBB"/>
    <w:rsid w:val="00B00DA4"/>
    <w:rsid w:val="00B04713"/>
    <w:rsid w:val="00B07516"/>
    <w:rsid w:val="00B31B5B"/>
    <w:rsid w:val="00BD1371"/>
    <w:rsid w:val="00BE5067"/>
    <w:rsid w:val="00C217DD"/>
    <w:rsid w:val="00C43F6D"/>
    <w:rsid w:val="00C56390"/>
    <w:rsid w:val="00C92258"/>
    <w:rsid w:val="00C952BC"/>
    <w:rsid w:val="00CC6243"/>
    <w:rsid w:val="00CD0222"/>
    <w:rsid w:val="00D03FD2"/>
    <w:rsid w:val="00D2753C"/>
    <w:rsid w:val="00D415F6"/>
    <w:rsid w:val="00D430E6"/>
    <w:rsid w:val="00D93287"/>
    <w:rsid w:val="00DA6654"/>
    <w:rsid w:val="00DA7033"/>
    <w:rsid w:val="00DD26D3"/>
    <w:rsid w:val="00DF6A87"/>
    <w:rsid w:val="00E05352"/>
    <w:rsid w:val="00E20092"/>
    <w:rsid w:val="00E43C3D"/>
    <w:rsid w:val="00E4455A"/>
    <w:rsid w:val="00E71CB7"/>
    <w:rsid w:val="00EC3BBE"/>
    <w:rsid w:val="00EE2A12"/>
    <w:rsid w:val="00F0067F"/>
    <w:rsid w:val="00F114E7"/>
    <w:rsid w:val="00F34368"/>
    <w:rsid w:val="00F44BAD"/>
    <w:rsid w:val="00F74C5F"/>
    <w:rsid w:val="00F9010E"/>
    <w:rsid w:val="00FA0F95"/>
    <w:rsid w:val="00FD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8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3E514-790E-4B9F-8B92-24E87E5A0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1338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9218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Veber Jaromír</cp:lastModifiedBy>
  <cp:revision>2</cp:revision>
  <dcterms:created xsi:type="dcterms:W3CDTF">2015-03-20T11:05:00Z</dcterms:created>
  <dcterms:modified xsi:type="dcterms:W3CDTF">2015-03-20T11:05:00Z</dcterms:modified>
</cp:coreProperties>
</file>